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37F5B6FF" w:rsidR="001A2A76" w:rsidRDefault="001A2A76" w:rsidP="00195CA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765378">
        <w:rPr>
          <w:rFonts w:ascii="Arial" w:eastAsia="Arial" w:hAnsi="Arial" w:cs="Arial"/>
          <w:b/>
          <w:color w:val="000000"/>
          <w:sz w:val="20"/>
          <w:szCs w:val="20"/>
          <w:u w:val="single"/>
        </w:rPr>
        <w:t>octubre</w:t>
      </w:r>
      <w:r w:rsidR="009164C2">
        <w:rPr>
          <w:rFonts w:ascii="Arial" w:eastAsia="Arial" w:hAnsi="Arial" w:cs="Arial"/>
          <w:b/>
          <w:color w:val="000000"/>
          <w:sz w:val="20"/>
          <w:szCs w:val="20"/>
          <w:u w:val="single"/>
        </w:rPr>
        <w:t>-</w:t>
      </w:r>
      <w:r w:rsidR="00765378">
        <w:rPr>
          <w:rFonts w:ascii="Arial" w:eastAsia="Arial" w:hAnsi="Arial" w:cs="Arial"/>
          <w:b/>
          <w:color w:val="000000"/>
          <w:sz w:val="20"/>
          <w:szCs w:val="20"/>
          <w:u w:val="single"/>
        </w:rPr>
        <w:t>diciembre</w:t>
      </w:r>
      <w:r w:rsidR="009164C2">
        <w:rPr>
          <w:rFonts w:ascii="Arial" w:eastAsia="Arial" w:hAnsi="Arial" w:cs="Arial"/>
          <w:b/>
          <w:color w:val="000000"/>
          <w:sz w:val="20"/>
          <w:szCs w:val="20"/>
          <w:u w:val="single"/>
        </w:rPr>
        <w:t xml:space="preserve"> </w:t>
      </w:r>
      <w:r w:rsidRPr="00687087">
        <w:rPr>
          <w:rFonts w:ascii="Arial" w:eastAsia="Arial" w:hAnsi="Arial" w:cs="Arial"/>
          <w:b/>
          <w:color w:val="000000"/>
          <w:sz w:val="20"/>
          <w:szCs w:val="20"/>
          <w:u w:val="single"/>
        </w:rPr>
        <w:t>202</w:t>
      </w:r>
      <w:r w:rsidR="00F66A0E">
        <w:rPr>
          <w:rFonts w:ascii="Arial" w:eastAsia="Arial" w:hAnsi="Arial" w:cs="Arial"/>
          <w:b/>
          <w:color w:val="000000"/>
          <w:sz w:val="20"/>
          <w:szCs w:val="20"/>
          <w:u w:val="single"/>
        </w:rPr>
        <w:t>4</w:t>
      </w:r>
    </w:p>
    <w:p w14:paraId="52328C8E" w14:textId="77777777" w:rsidR="00D076F3" w:rsidRPr="00687087" w:rsidRDefault="00D076F3" w:rsidP="00195CA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6354E14E" w14:textId="1495FED2" w:rsidR="00765378" w:rsidRDefault="00765378" w:rsidP="00195CAB">
      <w:pPr>
        <w:pStyle w:val="Prrafodelista"/>
        <w:spacing w:before="120" w:line="288" w:lineRule="auto"/>
        <w:ind w:left="0" w:right="-1"/>
        <w:contextualSpacing w:val="0"/>
        <w:jc w:val="center"/>
        <w:rPr>
          <w:rFonts w:ascii="Arial" w:eastAsia="Arial" w:hAnsi="Arial" w:cs="Arial"/>
          <w:b/>
          <w:bCs/>
          <w:sz w:val="36"/>
          <w:szCs w:val="36"/>
        </w:rPr>
      </w:pPr>
      <w:r w:rsidRPr="00765378">
        <w:rPr>
          <w:rFonts w:ascii="Arial" w:eastAsia="Arial" w:hAnsi="Arial" w:cs="Arial"/>
          <w:b/>
          <w:bCs/>
          <w:sz w:val="36"/>
          <w:szCs w:val="36"/>
        </w:rPr>
        <w:t>Las empresas españolas afrontan el cierre del año con optimismo</w:t>
      </w:r>
      <w:r w:rsidR="00D158E9">
        <w:rPr>
          <w:rFonts w:ascii="Arial" w:eastAsia="Arial" w:hAnsi="Arial" w:cs="Arial"/>
          <w:b/>
          <w:bCs/>
          <w:sz w:val="36"/>
          <w:szCs w:val="36"/>
        </w:rPr>
        <w:t>: 3 de cada 10 generarán empleo</w:t>
      </w:r>
    </w:p>
    <w:p w14:paraId="7D1423C5" w14:textId="18FEB4BE" w:rsidR="00D076F3" w:rsidRDefault="00D076F3" w:rsidP="00195CAB">
      <w:pPr>
        <w:pStyle w:val="Prrafodelista"/>
        <w:spacing w:before="120" w:line="288" w:lineRule="auto"/>
        <w:ind w:left="360"/>
        <w:contextualSpacing w:val="0"/>
        <w:jc w:val="both"/>
        <w:rPr>
          <w:rFonts w:ascii="Arial" w:eastAsia="Arial" w:hAnsi="Arial" w:cs="Arial"/>
          <w:b/>
          <w:sz w:val="23"/>
          <w:szCs w:val="23"/>
        </w:rPr>
      </w:pPr>
      <w:bookmarkStart w:id="0" w:name="_Hlk113557077"/>
    </w:p>
    <w:p w14:paraId="0557BDBE" w14:textId="5FC025F2" w:rsidR="00765378" w:rsidRPr="001D5BD3" w:rsidRDefault="00765378" w:rsidP="00195CAB">
      <w:pPr>
        <w:pStyle w:val="Prrafodelista"/>
        <w:numPr>
          <w:ilvl w:val="0"/>
          <w:numId w:val="1"/>
        </w:numPr>
        <w:spacing w:before="120" w:line="288" w:lineRule="auto"/>
        <w:ind w:left="360"/>
        <w:contextualSpacing w:val="0"/>
        <w:jc w:val="both"/>
        <w:rPr>
          <w:rFonts w:ascii="Arial" w:eastAsia="Arial" w:hAnsi="Arial" w:cs="Arial"/>
          <w:b/>
          <w:sz w:val="23"/>
          <w:szCs w:val="23"/>
        </w:rPr>
      </w:pPr>
      <w:r w:rsidRPr="001D5BD3">
        <w:rPr>
          <w:rFonts w:ascii="Arial" w:eastAsia="Arial" w:hAnsi="Arial" w:cs="Arial"/>
          <w:b/>
          <w:sz w:val="23"/>
          <w:szCs w:val="23"/>
        </w:rPr>
        <w:t>España consolida una tendencia positiva para el último trimestre del año</w:t>
      </w:r>
      <w:r w:rsidR="00BC2B93" w:rsidRPr="001D5BD3">
        <w:rPr>
          <w:rFonts w:ascii="Arial" w:eastAsia="Arial" w:hAnsi="Arial" w:cs="Arial"/>
          <w:b/>
          <w:sz w:val="23"/>
          <w:szCs w:val="23"/>
        </w:rPr>
        <w:t>, mejorando en 5 puntos las últimas previsiones.</w:t>
      </w:r>
    </w:p>
    <w:p w14:paraId="3E0E96AD" w14:textId="595D74FC" w:rsidR="001D5BD3" w:rsidRPr="001D5BD3" w:rsidRDefault="001D5BD3" w:rsidP="00195CAB">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bookmarkStart w:id="1" w:name="_Hlk176277549"/>
      <w:bookmarkEnd w:id="0"/>
      <w:r w:rsidRPr="001D5BD3">
        <w:rPr>
          <w:rFonts w:ascii="Arial" w:eastAsia="Arial" w:hAnsi="Arial" w:cs="Arial"/>
          <w:b/>
          <w:bCs/>
          <w:sz w:val="22"/>
          <w:szCs w:val="22"/>
        </w:rPr>
        <w:t xml:space="preserve">El sector financiero e inmobiliario lidera las expectativas de contratación con un 29%, seguido de </w:t>
      </w:r>
      <w:r w:rsidR="00CB1A27">
        <w:rPr>
          <w:rFonts w:ascii="Arial" w:eastAsia="Arial" w:hAnsi="Arial" w:cs="Arial"/>
          <w:b/>
          <w:bCs/>
          <w:sz w:val="22"/>
          <w:szCs w:val="22"/>
        </w:rPr>
        <w:t>B</w:t>
      </w:r>
      <w:r w:rsidRPr="001D5BD3">
        <w:rPr>
          <w:rFonts w:ascii="Arial" w:eastAsia="Arial" w:hAnsi="Arial" w:cs="Arial"/>
          <w:b/>
          <w:bCs/>
          <w:sz w:val="22"/>
          <w:szCs w:val="22"/>
        </w:rPr>
        <w:t xml:space="preserve">ienes y servicios de consumo y </w:t>
      </w:r>
      <w:r w:rsidR="00CB1A27">
        <w:rPr>
          <w:rFonts w:ascii="Arial" w:eastAsia="Arial" w:hAnsi="Arial" w:cs="Arial"/>
          <w:b/>
          <w:bCs/>
          <w:sz w:val="22"/>
          <w:szCs w:val="22"/>
        </w:rPr>
        <w:t>E</w:t>
      </w:r>
      <w:r w:rsidRPr="001D5BD3">
        <w:rPr>
          <w:rFonts w:ascii="Arial" w:eastAsia="Arial" w:hAnsi="Arial" w:cs="Arial"/>
          <w:b/>
          <w:bCs/>
          <w:sz w:val="22"/>
          <w:szCs w:val="22"/>
        </w:rPr>
        <w:t>nergía y suministros, ambos con un 24%.</w:t>
      </w:r>
    </w:p>
    <w:bookmarkEnd w:id="1"/>
    <w:p w14:paraId="0A52216F" w14:textId="4EE0D520" w:rsidR="001D5BD3" w:rsidRPr="00CB1A27" w:rsidRDefault="00321F4F" w:rsidP="00195CAB">
      <w:pPr>
        <w:pStyle w:val="Prrafodelista"/>
        <w:numPr>
          <w:ilvl w:val="0"/>
          <w:numId w:val="1"/>
        </w:numPr>
        <w:spacing w:before="120" w:line="288" w:lineRule="auto"/>
        <w:ind w:left="360"/>
        <w:contextualSpacing w:val="0"/>
        <w:jc w:val="both"/>
        <w:rPr>
          <w:rFonts w:ascii="Arial" w:eastAsia="Arial" w:hAnsi="Arial" w:cs="Arial"/>
          <w:bCs/>
          <w:sz w:val="22"/>
          <w:szCs w:val="22"/>
        </w:rPr>
      </w:pPr>
      <w:r w:rsidRPr="00CB1A27">
        <w:rPr>
          <w:rFonts w:ascii="Arial" w:eastAsia="Arial" w:hAnsi="Arial" w:cs="Arial"/>
          <w:b/>
          <w:bCs/>
          <w:sz w:val="22"/>
          <w:szCs w:val="22"/>
        </w:rPr>
        <w:t xml:space="preserve">En el análisis regional, </w:t>
      </w:r>
      <w:r w:rsidR="001D5BD3" w:rsidRPr="00CB1A27">
        <w:rPr>
          <w:rFonts w:ascii="Arial" w:eastAsia="Arial" w:hAnsi="Arial" w:cs="Arial"/>
          <w:b/>
          <w:bCs/>
          <w:sz w:val="22"/>
          <w:szCs w:val="22"/>
        </w:rPr>
        <w:t xml:space="preserve">Levante (Comunidad Valenciana y Región de Murcia) destaca con un 26% de previsión neta de contratación, </w:t>
      </w:r>
      <w:r w:rsidR="00D158E9">
        <w:rPr>
          <w:rFonts w:ascii="Arial" w:eastAsia="Arial" w:hAnsi="Arial" w:cs="Arial"/>
          <w:b/>
          <w:bCs/>
          <w:sz w:val="22"/>
          <w:szCs w:val="22"/>
        </w:rPr>
        <w:t>tras</w:t>
      </w:r>
      <w:r w:rsidR="001D5BD3" w:rsidRPr="00CB1A27">
        <w:rPr>
          <w:rFonts w:ascii="Arial" w:eastAsia="Arial" w:hAnsi="Arial" w:cs="Arial"/>
          <w:b/>
          <w:bCs/>
          <w:sz w:val="22"/>
          <w:szCs w:val="22"/>
        </w:rPr>
        <w:t xml:space="preserve"> un crecimiento de 15 puntos respecto al trimestre anterior.</w:t>
      </w:r>
      <w:bookmarkStart w:id="2" w:name="_Hlk137140302"/>
      <w:bookmarkStart w:id="3" w:name="_Hlk113557102"/>
      <w:bookmarkStart w:id="4" w:name="_Hlk90223537"/>
      <w:bookmarkStart w:id="5" w:name="_Hlk89449303"/>
      <w:bookmarkStart w:id="6" w:name="_Hlk89449332"/>
    </w:p>
    <w:p w14:paraId="21EB964E" w14:textId="77777777" w:rsidR="001D5BD3" w:rsidRDefault="001D5BD3" w:rsidP="00195CAB">
      <w:pPr>
        <w:spacing w:before="120" w:line="288" w:lineRule="auto"/>
        <w:jc w:val="both"/>
        <w:rPr>
          <w:rFonts w:ascii="Arial" w:eastAsia="Arial" w:hAnsi="Arial" w:cs="Arial"/>
          <w:b/>
          <w:sz w:val="22"/>
          <w:szCs w:val="22"/>
        </w:rPr>
      </w:pPr>
    </w:p>
    <w:p w14:paraId="16CC0AC9" w14:textId="03BDA710" w:rsidR="001D5BD3" w:rsidRDefault="00321F4F" w:rsidP="00195CAB">
      <w:pPr>
        <w:spacing w:before="120" w:line="288" w:lineRule="auto"/>
        <w:jc w:val="both"/>
        <w:rPr>
          <w:rFonts w:ascii="Arial" w:eastAsia="Arial" w:hAnsi="Arial" w:cs="Arial"/>
          <w:bCs/>
          <w:sz w:val="22"/>
          <w:szCs w:val="22"/>
        </w:rPr>
      </w:pPr>
      <w:r w:rsidRPr="001D5BD3">
        <w:rPr>
          <w:rFonts w:ascii="Arial" w:eastAsia="Arial" w:hAnsi="Arial" w:cs="Arial"/>
          <w:b/>
          <w:sz w:val="22"/>
          <w:szCs w:val="22"/>
        </w:rPr>
        <w:t xml:space="preserve">Madrid, </w:t>
      </w:r>
      <w:r w:rsidR="00D158E9">
        <w:rPr>
          <w:rFonts w:ascii="Arial" w:eastAsia="Arial" w:hAnsi="Arial" w:cs="Arial"/>
          <w:b/>
          <w:sz w:val="22"/>
          <w:szCs w:val="22"/>
        </w:rPr>
        <w:t>10</w:t>
      </w:r>
      <w:r w:rsidRPr="001D5BD3">
        <w:rPr>
          <w:rFonts w:ascii="Arial" w:eastAsia="Arial" w:hAnsi="Arial" w:cs="Arial"/>
          <w:b/>
          <w:sz w:val="22"/>
          <w:szCs w:val="22"/>
        </w:rPr>
        <w:t xml:space="preserve"> de </w:t>
      </w:r>
      <w:r w:rsidR="00BC2B93" w:rsidRPr="001D5BD3">
        <w:rPr>
          <w:rFonts w:ascii="Arial" w:eastAsia="Arial" w:hAnsi="Arial" w:cs="Arial"/>
          <w:b/>
          <w:sz w:val="22"/>
          <w:szCs w:val="22"/>
        </w:rPr>
        <w:t>septiembre</w:t>
      </w:r>
      <w:r w:rsidRPr="001D5BD3">
        <w:rPr>
          <w:rFonts w:ascii="Arial" w:eastAsia="Arial" w:hAnsi="Arial" w:cs="Arial"/>
          <w:b/>
          <w:sz w:val="22"/>
          <w:szCs w:val="22"/>
        </w:rPr>
        <w:t xml:space="preserve"> de 2024.-</w:t>
      </w:r>
      <w:r w:rsidRPr="001D5BD3">
        <w:rPr>
          <w:rFonts w:ascii="Arial" w:eastAsia="Arial" w:hAnsi="Arial" w:cs="Arial"/>
          <w:bCs/>
          <w:sz w:val="22"/>
          <w:szCs w:val="22"/>
        </w:rPr>
        <w:t xml:space="preserve"> </w:t>
      </w:r>
      <w:r w:rsidR="001D5BD3">
        <w:rPr>
          <w:rFonts w:ascii="Arial" w:eastAsia="Arial" w:hAnsi="Arial" w:cs="Arial"/>
          <w:bCs/>
          <w:sz w:val="22"/>
          <w:szCs w:val="22"/>
        </w:rPr>
        <w:t>L</w:t>
      </w:r>
      <w:r w:rsidR="001D5BD3" w:rsidRPr="001D5BD3">
        <w:rPr>
          <w:rFonts w:ascii="Arial" w:eastAsia="Arial" w:hAnsi="Arial" w:cs="Arial"/>
          <w:bCs/>
          <w:sz w:val="22"/>
          <w:szCs w:val="22"/>
        </w:rPr>
        <w:t xml:space="preserve">as empresas españolas muestran un </w:t>
      </w:r>
      <w:r w:rsidR="00D158E9">
        <w:rPr>
          <w:rFonts w:ascii="Arial" w:eastAsia="Arial" w:hAnsi="Arial" w:cs="Arial"/>
          <w:bCs/>
          <w:sz w:val="22"/>
          <w:szCs w:val="22"/>
        </w:rPr>
        <w:t xml:space="preserve">notable </w:t>
      </w:r>
      <w:r w:rsidR="001D5BD3" w:rsidRPr="001D5BD3">
        <w:rPr>
          <w:rFonts w:ascii="Arial" w:eastAsia="Arial" w:hAnsi="Arial" w:cs="Arial"/>
          <w:bCs/>
          <w:sz w:val="22"/>
          <w:szCs w:val="22"/>
        </w:rPr>
        <w:t xml:space="preserve">optimismo </w:t>
      </w:r>
      <w:r w:rsidR="00D158E9">
        <w:rPr>
          <w:rFonts w:ascii="Arial" w:eastAsia="Arial" w:hAnsi="Arial" w:cs="Arial"/>
          <w:bCs/>
          <w:sz w:val="22"/>
          <w:szCs w:val="22"/>
        </w:rPr>
        <w:t xml:space="preserve">en la generación de puestos de trabajo </w:t>
      </w:r>
      <w:r w:rsidR="001D5BD3" w:rsidRPr="001D5BD3">
        <w:rPr>
          <w:rFonts w:ascii="Arial" w:eastAsia="Arial" w:hAnsi="Arial" w:cs="Arial"/>
          <w:bCs/>
          <w:sz w:val="22"/>
          <w:szCs w:val="22"/>
        </w:rPr>
        <w:t xml:space="preserve">de cara al último trimestre del año, según revela el último </w:t>
      </w:r>
      <w:r w:rsidR="001D5BD3" w:rsidRPr="001D5BD3">
        <w:rPr>
          <w:rFonts w:ascii="Arial" w:eastAsia="Arial" w:hAnsi="Arial" w:cs="Arial"/>
          <w:b/>
          <w:sz w:val="22"/>
          <w:szCs w:val="22"/>
        </w:rPr>
        <w:t>Estudio de Proyección de Empleo de ManpowerGroup.</w:t>
      </w:r>
      <w:r w:rsidR="001D5BD3" w:rsidRPr="001D5BD3">
        <w:rPr>
          <w:rFonts w:ascii="Arial" w:eastAsia="Arial" w:hAnsi="Arial" w:cs="Arial"/>
          <w:bCs/>
          <w:sz w:val="22"/>
          <w:szCs w:val="22"/>
        </w:rPr>
        <w:t xml:space="preserve"> Para los meses de octubre a diciembre, el 33% de las compañías planea aumentar sus plantillas, mientras que el 48% las mantendrá, y solo un 15% prevé reducciones en sus equipos. Estas cifras sitúan la </w:t>
      </w:r>
      <w:r w:rsidR="001D5BD3" w:rsidRPr="001D5BD3">
        <w:rPr>
          <w:rFonts w:ascii="Arial" w:eastAsia="Arial" w:hAnsi="Arial" w:cs="Arial"/>
          <w:b/>
          <w:sz w:val="22"/>
          <w:szCs w:val="22"/>
        </w:rPr>
        <w:t>previsión neta de contratación en un 20%,</w:t>
      </w:r>
      <w:r w:rsidR="001D5BD3" w:rsidRPr="001D5BD3">
        <w:rPr>
          <w:rFonts w:ascii="Arial" w:eastAsia="Arial" w:hAnsi="Arial" w:cs="Arial"/>
          <w:bCs/>
          <w:sz w:val="22"/>
          <w:szCs w:val="22"/>
        </w:rPr>
        <w:t xml:space="preserve"> </w:t>
      </w:r>
      <w:r w:rsidR="00D158E9">
        <w:rPr>
          <w:rFonts w:ascii="Arial" w:eastAsia="Arial" w:hAnsi="Arial" w:cs="Arial"/>
          <w:bCs/>
          <w:sz w:val="22"/>
          <w:szCs w:val="22"/>
        </w:rPr>
        <w:t xml:space="preserve">lo que supone </w:t>
      </w:r>
      <w:r w:rsidR="001D5BD3" w:rsidRPr="001D5BD3">
        <w:rPr>
          <w:rFonts w:ascii="Arial" w:eastAsia="Arial" w:hAnsi="Arial" w:cs="Arial"/>
          <w:bCs/>
          <w:sz w:val="22"/>
          <w:szCs w:val="22"/>
        </w:rPr>
        <w:t xml:space="preserve">un incremento </w:t>
      </w:r>
      <w:r w:rsidR="00D158E9">
        <w:rPr>
          <w:rFonts w:ascii="Arial" w:eastAsia="Arial" w:hAnsi="Arial" w:cs="Arial"/>
          <w:bCs/>
          <w:sz w:val="22"/>
          <w:szCs w:val="22"/>
        </w:rPr>
        <w:t xml:space="preserve">de </w:t>
      </w:r>
      <w:r w:rsidR="001D5BD3" w:rsidRPr="001D5BD3">
        <w:rPr>
          <w:rFonts w:ascii="Arial" w:eastAsia="Arial" w:hAnsi="Arial" w:cs="Arial"/>
          <w:bCs/>
          <w:sz w:val="22"/>
          <w:szCs w:val="22"/>
        </w:rPr>
        <w:t>5 puntos en compara</w:t>
      </w:r>
      <w:r w:rsidR="00D158E9">
        <w:rPr>
          <w:rFonts w:ascii="Arial" w:eastAsia="Arial" w:hAnsi="Arial" w:cs="Arial"/>
          <w:bCs/>
          <w:sz w:val="22"/>
          <w:szCs w:val="22"/>
        </w:rPr>
        <w:t xml:space="preserve">tiva </w:t>
      </w:r>
      <w:proofErr w:type="spellStart"/>
      <w:r w:rsidR="00D158E9">
        <w:rPr>
          <w:rFonts w:ascii="Arial" w:eastAsia="Arial" w:hAnsi="Arial" w:cs="Arial"/>
          <w:bCs/>
          <w:sz w:val="22"/>
          <w:szCs w:val="22"/>
        </w:rPr>
        <w:t>inter</w:t>
      </w:r>
      <w:r w:rsidR="001D5BD3" w:rsidRPr="001D5BD3">
        <w:rPr>
          <w:rFonts w:ascii="Arial" w:eastAsia="Arial" w:hAnsi="Arial" w:cs="Arial"/>
          <w:bCs/>
          <w:sz w:val="22"/>
          <w:szCs w:val="22"/>
        </w:rPr>
        <w:t>trimestr</w:t>
      </w:r>
      <w:r w:rsidR="00D158E9">
        <w:rPr>
          <w:rFonts w:ascii="Arial" w:eastAsia="Arial" w:hAnsi="Arial" w:cs="Arial"/>
          <w:bCs/>
          <w:sz w:val="22"/>
          <w:szCs w:val="22"/>
        </w:rPr>
        <w:t>al</w:t>
      </w:r>
      <w:proofErr w:type="spellEnd"/>
      <w:r w:rsidR="001D5BD3" w:rsidRPr="001D5BD3">
        <w:rPr>
          <w:rFonts w:ascii="Arial" w:eastAsia="Arial" w:hAnsi="Arial" w:cs="Arial"/>
          <w:bCs/>
          <w:sz w:val="22"/>
          <w:szCs w:val="22"/>
        </w:rPr>
        <w:t xml:space="preserve">, </w:t>
      </w:r>
      <w:r w:rsidR="00D158E9">
        <w:rPr>
          <w:rFonts w:ascii="Arial" w:eastAsia="Arial" w:hAnsi="Arial" w:cs="Arial"/>
          <w:bCs/>
          <w:sz w:val="22"/>
          <w:szCs w:val="22"/>
        </w:rPr>
        <w:t xml:space="preserve">para cerrar el </w:t>
      </w:r>
      <w:r w:rsidR="001D5BD3" w:rsidRPr="001D5BD3">
        <w:rPr>
          <w:rFonts w:ascii="Arial" w:eastAsia="Arial" w:hAnsi="Arial" w:cs="Arial"/>
          <w:bCs/>
          <w:sz w:val="22"/>
          <w:szCs w:val="22"/>
        </w:rPr>
        <w:t>año con una tendencia al alza.</w:t>
      </w:r>
    </w:p>
    <w:p w14:paraId="687E8384" w14:textId="64B8512D" w:rsidR="00D158E9" w:rsidRDefault="00321F4F" w:rsidP="00195CAB">
      <w:pPr>
        <w:spacing w:before="120" w:line="288" w:lineRule="auto"/>
        <w:jc w:val="both"/>
        <w:rPr>
          <w:rFonts w:ascii="Arial" w:eastAsia="Arial" w:hAnsi="Arial" w:cs="Arial"/>
          <w:bCs/>
          <w:i/>
          <w:iCs/>
          <w:sz w:val="22"/>
          <w:szCs w:val="22"/>
        </w:rPr>
      </w:pPr>
      <w:r w:rsidRPr="00321F4F">
        <w:rPr>
          <w:rFonts w:ascii="Arial" w:eastAsia="Arial" w:hAnsi="Arial" w:cs="Arial"/>
          <w:b/>
          <w:sz w:val="22"/>
          <w:szCs w:val="22"/>
        </w:rPr>
        <w:t>Francisco Ribeiro, Country Manager de Manpower,</w:t>
      </w:r>
      <w:r>
        <w:rPr>
          <w:rFonts w:ascii="Arial" w:eastAsia="Arial" w:hAnsi="Arial" w:cs="Arial"/>
          <w:bCs/>
          <w:sz w:val="22"/>
          <w:szCs w:val="22"/>
        </w:rPr>
        <w:t xml:space="preserve"> </w:t>
      </w:r>
      <w:r w:rsidR="001D5BD3">
        <w:rPr>
          <w:rFonts w:ascii="Arial" w:eastAsia="Arial" w:hAnsi="Arial" w:cs="Arial"/>
          <w:bCs/>
          <w:sz w:val="22"/>
          <w:szCs w:val="22"/>
        </w:rPr>
        <w:t xml:space="preserve">comenta: </w:t>
      </w:r>
      <w:r w:rsidR="001D5BD3" w:rsidRPr="001D5BD3">
        <w:rPr>
          <w:rFonts w:ascii="Arial" w:eastAsia="Arial" w:hAnsi="Arial" w:cs="Arial"/>
          <w:bCs/>
          <w:i/>
          <w:iCs/>
          <w:sz w:val="22"/>
          <w:szCs w:val="22"/>
        </w:rPr>
        <w:t>“</w:t>
      </w:r>
      <w:r w:rsidR="001D5BD3">
        <w:rPr>
          <w:rFonts w:ascii="Arial" w:eastAsia="Arial" w:hAnsi="Arial" w:cs="Arial"/>
          <w:bCs/>
          <w:i/>
          <w:iCs/>
          <w:sz w:val="22"/>
          <w:szCs w:val="22"/>
        </w:rPr>
        <w:t>e</w:t>
      </w:r>
      <w:r w:rsidR="001D5BD3" w:rsidRPr="001D5BD3">
        <w:rPr>
          <w:rFonts w:ascii="Arial" w:eastAsia="Arial" w:hAnsi="Arial" w:cs="Arial"/>
          <w:bCs/>
          <w:i/>
          <w:iCs/>
          <w:sz w:val="22"/>
          <w:szCs w:val="22"/>
        </w:rPr>
        <w:t xml:space="preserve">stos resultados </w:t>
      </w:r>
      <w:r w:rsidR="00D158E9">
        <w:rPr>
          <w:rFonts w:ascii="Arial" w:eastAsia="Arial" w:hAnsi="Arial" w:cs="Arial"/>
          <w:bCs/>
          <w:i/>
          <w:iCs/>
          <w:sz w:val="22"/>
          <w:szCs w:val="22"/>
        </w:rPr>
        <w:t xml:space="preserve">son el </w:t>
      </w:r>
      <w:r w:rsidR="001D5BD3" w:rsidRPr="001D5BD3">
        <w:rPr>
          <w:rFonts w:ascii="Arial" w:eastAsia="Arial" w:hAnsi="Arial" w:cs="Arial"/>
          <w:bCs/>
          <w:i/>
          <w:iCs/>
          <w:sz w:val="22"/>
          <w:szCs w:val="22"/>
        </w:rPr>
        <w:t>reflej</w:t>
      </w:r>
      <w:r w:rsidR="00D158E9">
        <w:rPr>
          <w:rFonts w:ascii="Arial" w:eastAsia="Arial" w:hAnsi="Arial" w:cs="Arial"/>
          <w:bCs/>
          <w:i/>
          <w:iCs/>
          <w:sz w:val="22"/>
          <w:szCs w:val="22"/>
        </w:rPr>
        <w:t xml:space="preserve">o de la </w:t>
      </w:r>
      <w:r w:rsidR="001D5BD3" w:rsidRPr="001D5BD3">
        <w:rPr>
          <w:rFonts w:ascii="Arial" w:eastAsia="Arial" w:hAnsi="Arial" w:cs="Arial"/>
          <w:bCs/>
          <w:i/>
          <w:iCs/>
          <w:sz w:val="22"/>
          <w:szCs w:val="22"/>
        </w:rPr>
        <w:t xml:space="preserve">resiliencia del </w:t>
      </w:r>
      <w:r w:rsidR="00D158E9">
        <w:rPr>
          <w:rFonts w:ascii="Arial" w:eastAsia="Arial" w:hAnsi="Arial" w:cs="Arial"/>
          <w:bCs/>
          <w:i/>
          <w:iCs/>
          <w:sz w:val="22"/>
          <w:szCs w:val="22"/>
        </w:rPr>
        <w:t xml:space="preserve">tejido empresarial </w:t>
      </w:r>
      <w:r w:rsidR="001D5BD3" w:rsidRPr="001D5BD3">
        <w:rPr>
          <w:rFonts w:ascii="Arial" w:eastAsia="Arial" w:hAnsi="Arial" w:cs="Arial"/>
          <w:bCs/>
          <w:i/>
          <w:iCs/>
          <w:sz w:val="22"/>
          <w:szCs w:val="22"/>
        </w:rPr>
        <w:t>español</w:t>
      </w:r>
      <w:r w:rsidR="00D158E9">
        <w:rPr>
          <w:rFonts w:ascii="Arial" w:eastAsia="Arial" w:hAnsi="Arial" w:cs="Arial"/>
          <w:bCs/>
          <w:i/>
          <w:iCs/>
          <w:sz w:val="22"/>
          <w:szCs w:val="22"/>
        </w:rPr>
        <w:t>.</w:t>
      </w:r>
      <w:r w:rsidR="001D5BD3" w:rsidRPr="001D5BD3">
        <w:rPr>
          <w:rFonts w:ascii="Arial" w:eastAsia="Arial" w:hAnsi="Arial" w:cs="Arial"/>
          <w:bCs/>
          <w:i/>
          <w:iCs/>
          <w:sz w:val="22"/>
          <w:szCs w:val="22"/>
        </w:rPr>
        <w:t xml:space="preserve"> </w:t>
      </w:r>
      <w:r w:rsidR="00D158E9">
        <w:rPr>
          <w:rFonts w:ascii="Arial" w:eastAsia="Arial" w:hAnsi="Arial" w:cs="Arial"/>
          <w:bCs/>
          <w:i/>
          <w:iCs/>
          <w:sz w:val="22"/>
          <w:szCs w:val="22"/>
        </w:rPr>
        <w:t xml:space="preserve">A pesar de todos los retos e incertidumbres, las compañías </w:t>
      </w:r>
      <w:r w:rsidR="001D5BD3" w:rsidRPr="001D5BD3">
        <w:rPr>
          <w:rFonts w:ascii="Arial" w:eastAsia="Arial" w:hAnsi="Arial" w:cs="Arial"/>
          <w:bCs/>
          <w:i/>
          <w:iCs/>
          <w:sz w:val="22"/>
          <w:szCs w:val="22"/>
        </w:rPr>
        <w:t xml:space="preserve">están preparadas para afrontar el final del año con confianza, impulsadas por el crecimiento de sectores estratégicos como el </w:t>
      </w:r>
      <w:r w:rsidR="00D158E9">
        <w:rPr>
          <w:rFonts w:ascii="Arial" w:eastAsia="Arial" w:hAnsi="Arial" w:cs="Arial"/>
          <w:bCs/>
          <w:i/>
          <w:iCs/>
          <w:sz w:val="22"/>
          <w:szCs w:val="22"/>
        </w:rPr>
        <w:t>F</w:t>
      </w:r>
      <w:r w:rsidR="001D5BD3" w:rsidRPr="001D5BD3">
        <w:rPr>
          <w:rFonts w:ascii="Arial" w:eastAsia="Arial" w:hAnsi="Arial" w:cs="Arial"/>
          <w:bCs/>
          <w:i/>
          <w:iCs/>
          <w:sz w:val="22"/>
          <w:szCs w:val="22"/>
        </w:rPr>
        <w:t>inanciero e inmobiliario y la energía</w:t>
      </w:r>
      <w:r w:rsidR="001463C1">
        <w:rPr>
          <w:rFonts w:ascii="Arial" w:eastAsia="Arial" w:hAnsi="Arial" w:cs="Arial"/>
          <w:bCs/>
          <w:i/>
          <w:iCs/>
          <w:sz w:val="22"/>
          <w:szCs w:val="22"/>
        </w:rPr>
        <w:t>. También es importante destacar la</w:t>
      </w:r>
      <w:r w:rsidR="00D158E9">
        <w:rPr>
          <w:rFonts w:ascii="Arial" w:eastAsia="Arial" w:hAnsi="Arial" w:cs="Arial"/>
          <w:bCs/>
          <w:i/>
          <w:iCs/>
          <w:sz w:val="22"/>
          <w:szCs w:val="22"/>
        </w:rPr>
        <w:t xml:space="preserve">s buenas previsiones de </w:t>
      </w:r>
      <w:r w:rsidR="001463C1">
        <w:rPr>
          <w:rFonts w:ascii="Arial" w:eastAsia="Arial" w:hAnsi="Arial" w:cs="Arial"/>
          <w:bCs/>
          <w:i/>
          <w:iCs/>
          <w:sz w:val="22"/>
          <w:szCs w:val="22"/>
        </w:rPr>
        <w:t xml:space="preserve">las empresas de Bienes y servicios de consumo, un sector que </w:t>
      </w:r>
      <w:r w:rsidR="00D158E9">
        <w:rPr>
          <w:rFonts w:ascii="Arial" w:eastAsia="Arial" w:hAnsi="Arial" w:cs="Arial"/>
          <w:bCs/>
          <w:i/>
          <w:iCs/>
          <w:sz w:val="22"/>
          <w:szCs w:val="22"/>
        </w:rPr>
        <w:t xml:space="preserve">ya </w:t>
      </w:r>
      <w:r w:rsidR="001463C1">
        <w:rPr>
          <w:rFonts w:ascii="Arial" w:eastAsia="Arial" w:hAnsi="Arial" w:cs="Arial"/>
          <w:bCs/>
          <w:i/>
          <w:iCs/>
          <w:sz w:val="22"/>
          <w:szCs w:val="22"/>
        </w:rPr>
        <w:t xml:space="preserve">se </w:t>
      </w:r>
      <w:r w:rsidR="00D158E9">
        <w:rPr>
          <w:rFonts w:ascii="Arial" w:eastAsia="Arial" w:hAnsi="Arial" w:cs="Arial"/>
          <w:bCs/>
          <w:i/>
          <w:iCs/>
          <w:sz w:val="22"/>
          <w:szCs w:val="22"/>
        </w:rPr>
        <w:t xml:space="preserve">está </w:t>
      </w:r>
      <w:r w:rsidR="001463C1">
        <w:rPr>
          <w:rFonts w:ascii="Arial" w:eastAsia="Arial" w:hAnsi="Arial" w:cs="Arial"/>
          <w:bCs/>
          <w:i/>
          <w:iCs/>
          <w:sz w:val="22"/>
          <w:szCs w:val="22"/>
        </w:rPr>
        <w:t>prepara</w:t>
      </w:r>
      <w:r w:rsidR="00D158E9">
        <w:rPr>
          <w:rFonts w:ascii="Arial" w:eastAsia="Arial" w:hAnsi="Arial" w:cs="Arial"/>
          <w:bCs/>
          <w:i/>
          <w:iCs/>
          <w:sz w:val="22"/>
          <w:szCs w:val="22"/>
        </w:rPr>
        <w:t>ndo</w:t>
      </w:r>
      <w:r w:rsidR="001463C1">
        <w:rPr>
          <w:rFonts w:ascii="Arial" w:eastAsia="Arial" w:hAnsi="Arial" w:cs="Arial"/>
          <w:bCs/>
          <w:i/>
          <w:iCs/>
          <w:sz w:val="22"/>
          <w:szCs w:val="22"/>
        </w:rPr>
        <w:t xml:space="preserve"> para </w:t>
      </w:r>
      <w:r w:rsidR="00D158E9">
        <w:rPr>
          <w:rFonts w:ascii="Arial" w:eastAsia="Arial" w:hAnsi="Arial" w:cs="Arial"/>
          <w:bCs/>
          <w:i/>
          <w:iCs/>
          <w:sz w:val="22"/>
          <w:szCs w:val="22"/>
        </w:rPr>
        <w:t xml:space="preserve">dar respuesta a la campaña navideña y que </w:t>
      </w:r>
      <w:r w:rsidR="000C12D2" w:rsidRPr="000C12D2">
        <w:rPr>
          <w:rFonts w:ascii="Arial" w:eastAsia="Arial" w:hAnsi="Arial" w:cs="Arial"/>
          <w:bCs/>
          <w:i/>
          <w:iCs/>
          <w:sz w:val="22"/>
          <w:szCs w:val="22"/>
        </w:rPr>
        <w:t>genera un impulso significativo en la contratación</w:t>
      </w:r>
      <w:r w:rsidR="000C12D2">
        <w:rPr>
          <w:rFonts w:ascii="Arial" w:eastAsia="Arial" w:hAnsi="Arial" w:cs="Arial"/>
          <w:bCs/>
          <w:i/>
          <w:iCs/>
          <w:sz w:val="22"/>
          <w:szCs w:val="22"/>
        </w:rPr>
        <w:t>”.</w:t>
      </w:r>
    </w:p>
    <w:p w14:paraId="2B45F150" w14:textId="77777777" w:rsidR="00D158E9" w:rsidRPr="00D158E9" w:rsidRDefault="00D158E9" w:rsidP="00195CAB">
      <w:pPr>
        <w:spacing w:before="120" w:line="288" w:lineRule="auto"/>
        <w:jc w:val="both"/>
        <w:rPr>
          <w:rFonts w:ascii="Arial" w:eastAsia="Arial" w:hAnsi="Arial" w:cs="Arial"/>
          <w:bCs/>
          <w:sz w:val="22"/>
          <w:szCs w:val="22"/>
        </w:rPr>
      </w:pPr>
    </w:p>
    <w:p w14:paraId="50DF5785" w14:textId="3E742EA8" w:rsidR="000C12D2" w:rsidRPr="000C12D2" w:rsidRDefault="00D158E9" w:rsidP="00195CAB">
      <w:pPr>
        <w:spacing w:before="120" w:line="288" w:lineRule="auto"/>
        <w:jc w:val="both"/>
        <w:rPr>
          <w:rFonts w:ascii="Arial" w:eastAsia="Arial" w:hAnsi="Arial" w:cs="Arial"/>
          <w:b/>
          <w:bCs/>
          <w:sz w:val="22"/>
          <w:szCs w:val="22"/>
        </w:rPr>
      </w:pPr>
      <w:bookmarkStart w:id="7" w:name="_Hlk176278246"/>
      <w:r>
        <w:rPr>
          <w:rFonts w:ascii="Arial" w:eastAsia="Arial" w:hAnsi="Arial" w:cs="Arial"/>
          <w:b/>
          <w:bCs/>
          <w:sz w:val="22"/>
          <w:szCs w:val="22"/>
        </w:rPr>
        <w:t>F</w:t>
      </w:r>
      <w:r w:rsidR="000C12D2" w:rsidRPr="000C12D2">
        <w:rPr>
          <w:rFonts w:ascii="Arial" w:eastAsia="Arial" w:hAnsi="Arial" w:cs="Arial"/>
          <w:b/>
          <w:bCs/>
          <w:sz w:val="22"/>
          <w:szCs w:val="22"/>
        </w:rPr>
        <w:t xml:space="preserve">inanciero e inmobiliario encabeza las </w:t>
      </w:r>
      <w:r>
        <w:rPr>
          <w:rFonts w:ascii="Arial" w:eastAsia="Arial" w:hAnsi="Arial" w:cs="Arial"/>
          <w:b/>
          <w:bCs/>
          <w:sz w:val="22"/>
          <w:szCs w:val="22"/>
        </w:rPr>
        <w:t>previsiones de generación de empleo</w:t>
      </w:r>
    </w:p>
    <w:p w14:paraId="39FA0E18" w14:textId="4445A845" w:rsidR="00D158E9" w:rsidRDefault="000C12D2" w:rsidP="00195CAB">
      <w:pPr>
        <w:spacing w:before="120" w:line="288" w:lineRule="auto"/>
        <w:jc w:val="both"/>
        <w:rPr>
          <w:rFonts w:ascii="Arial" w:eastAsia="Arial" w:hAnsi="Arial" w:cs="Arial"/>
          <w:bCs/>
          <w:sz w:val="22"/>
          <w:szCs w:val="22"/>
        </w:rPr>
      </w:pPr>
      <w:r w:rsidRPr="000C12D2">
        <w:rPr>
          <w:rFonts w:ascii="Arial" w:eastAsia="Arial" w:hAnsi="Arial" w:cs="Arial"/>
          <w:bCs/>
          <w:sz w:val="22"/>
          <w:szCs w:val="22"/>
        </w:rPr>
        <w:t xml:space="preserve">El </w:t>
      </w:r>
      <w:r w:rsidRPr="000C12D2">
        <w:rPr>
          <w:rFonts w:ascii="Arial" w:eastAsia="Arial" w:hAnsi="Arial" w:cs="Arial"/>
          <w:b/>
          <w:sz w:val="22"/>
          <w:szCs w:val="22"/>
        </w:rPr>
        <w:t xml:space="preserve">sector </w:t>
      </w:r>
      <w:r w:rsidR="00D158E9">
        <w:rPr>
          <w:rFonts w:ascii="Arial" w:eastAsia="Arial" w:hAnsi="Arial" w:cs="Arial"/>
          <w:b/>
          <w:sz w:val="22"/>
          <w:szCs w:val="22"/>
        </w:rPr>
        <w:t>F</w:t>
      </w:r>
      <w:r w:rsidRPr="000C12D2">
        <w:rPr>
          <w:rFonts w:ascii="Arial" w:eastAsia="Arial" w:hAnsi="Arial" w:cs="Arial"/>
          <w:b/>
          <w:sz w:val="22"/>
          <w:szCs w:val="22"/>
        </w:rPr>
        <w:t xml:space="preserve">inanciero e inmobiliario se posiciona como el más optimista en términos de </w:t>
      </w:r>
      <w:r w:rsidR="00D158E9">
        <w:rPr>
          <w:rFonts w:ascii="Arial" w:eastAsia="Arial" w:hAnsi="Arial" w:cs="Arial"/>
          <w:b/>
          <w:sz w:val="22"/>
          <w:szCs w:val="22"/>
        </w:rPr>
        <w:t>expectativa de generación de empleo</w:t>
      </w:r>
      <w:r w:rsidRPr="000C12D2">
        <w:rPr>
          <w:rFonts w:ascii="Arial" w:eastAsia="Arial" w:hAnsi="Arial" w:cs="Arial"/>
          <w:b/>
          <w:sz w:val="22"/>
          <w:szCs w:val="22"/>
        </w:rPr>
        <w:t>, con una previsión neta del 29%,</w:t>
      </w:r>
      <w:r w:rsidRPr="000C12D2">
        <w:rPr>
          <w:rFonts w:ascii="Arial" w:eastAsia="Arial" w:hAnsi="Arial" w:cs="Arial"/>
          <w:bCs/>
          <w:sz w:val="22"/>
          <w:szCs w:val="22"/>
        </w:rPr>
        <w:t xml:space="preserve"> </w:t>
      </w:r>
      <w:r w:rsidR="00D158E9">
        <w:rPr>
          <w:rFonts w:ascii="Arial" w:eastAsia="Arial" w:hAnsi="Arial" w:cs="Arial"/>
          <w:bCs/>
          <w:sz w:val="22"/>
          <w:szCs w:val="22"/>
        </w:rPr>
        <w:t xml:space="preserve">lo que supone </w:t>
      </w:r>
      <w:r w:rsidRPr="000C12D2">
        <w:rPr>
          <w:rFonts w:ascii="Arial" w:eastAsia="Arial" w:hAnsi="Arial" w:cs="Arial"/>
          <w:bCs/>
          <w:sz w:val="22"/>
          <w:szCs w:val="22"/>
        </w:rPr>
        <w:t xml:space="preserve">un aumento de 17 puntos respecto al trimestre anterior. </w:t>
      </w:r>
      <w:r w:rsidRPr="000C12D2">
        <w:rPr>
          <w:rFonts w:ascii="Arial" w:eastAsia="Arial" w:hAnsi="Arial" w:cs="Arial"/>
          <w:b/>
          <w:sz w:val="22"/>
          <w:szCs w:val="22"/>
        </w:rPr>
        <w:t xml:space="preserve">Bienes y servicios de consumo y </w:t>
      </w:r>
      <w:r w:rsidR="00D158E9">
        <w:rPr>
          <w:rFonts w:ascii="Arial" w:eastAsia="Arial" w:hAnsi="Arial" w:cs="Arial"/>
          <w:b/>
          <w:sz w:val="22"/>
          <w:szCs w:val="22"/>
        </w:rPr>
        <w:t>E</w:t>
      </w:r>
      <w:r w:rsidRPr="000C12D2">
        <w:rPr>
          <w:rFonts w:ascii="Arial" w:eastAsia="Arial" w:hAnsi="Arial" w:cs="Arial"/>
          <w:b/>
          <w:sz w:val="22"/>
          <w:szCs w:val="22"/>
        </w:rPr>
        <w:t>nergía y suministros</w:t>
      </w:r>
      <w:r w:rsidRPr="000C12D2">
        <w:rPr>
          <w:rFonts w:ascii="Arial" w:eastAsia="Arial" w:hAnsi="Arial" w:cs="Arial"/>
          <w:bCs/>
          <w:sz w:val="22"/>
          <w:szCs w:val="22"/>
        </w:rPr>
        <w:t xml:space="preserve"> le siguen de cerca, </w:t>
      </w:r>
      <w:r w:rsidRPr="000C12D2">
        <w:rPr>
          <w:rFonts w:ascii="Arial" w:eastAsia="Arial" w:hAnsi="Arial" w:cs="Arial"/>
          <w:b/>
          <w:sz w:val="22"/>
          <w:szCs w:val="22"/>
        </w:rPr>
        <w:t>ambos con un 24%</w:t>
      </w:r>
      <w:r w:rsidRPr="000C12D2">
        <w:rPr>
          <w:rFonts w:ascii="Arial" w:eastAsia="Arial" w:hAnsi="Arial" w:cs="Arial"/>
          <w:bCs/>
          <w:sz w:val="22"/>
          <w:szCs w:val="22"/>
        </w:rPr>
        <w:t>.</w:t>
      </w:r>
    </w:p>
    <w:p w14:paraId="0D991E53" w14:textId="380E5DFB" w:rsidR="00321F4F" w:rsidRDefault="00321F4F" w:rsidP="00195CAB">
      <w:pPr>
        <w:spacing w:before="120" w:line="288" w:lineRule="auto"/>
        <w:jc w:val="both"/>
        <w:rPr>
          <w:rFonts w:ascii="Arial" w:eastAsia="Arial" w:hAnsi="Arial" w:cs="Arial"/>
          <w:b/>
          <w:sz w:val="22"/>
          <w:szCs w:val="22"/>
        </w:rPr>
      </w:pPr>
      <w:r>
        <w:rPr>
          <w:rFonts w:ascii="Arial" w:eastAsia="Arial" w:hAnsi="Arial" w:cs="Arial"/>
          <w:bCs/>
          <w:sz w:val="22"/>
          <w:szCs w:val="22"/>
        </w:rPr>
        <w:t xml:space="preserve">La tercera posición en el ranking, con una previsión neta del </w:t>
      </w:r>
      <w:r w:rsidR="000C12D2">
        <w:rPr>
          <w:rFonts w:ascii="Arial" w:eastAsia="Arial" w:hAnsi="Arial" w:cs="Arial"/>
          <w:bCs/>
          <w:sz w:val="22"/>
          <w:szCs w:val="22"/>
        </w:rPr>
        <w:t>22</w:t>
      </w:r>
      <w:r>
        <w:rPr>
          <w:rFonts w:ascii="Arial" w:eastAsia="Arial" w:hAnsi="Arial" w:cs="Arial"/>
          <w:bCs/>
          <w:sz w:val="22"/>
          <w:szCs w:val="22"/>
        </w:rPr>
        <w:t xml:space="preserve">%, </w:t>
      </w:r>
      <w:r w:rsidR="000C12D2">
        <w:rPr>
          <w:rFonts w:ascii="Arial" w:eastAsia="Arial" w:hAnsi="Arial" w:cs="Arial"/>
          <w:bCs/>
          <w:sz w:val="22"/>
          <w:szCs w:val="22"/>
        </w:rPr>
        <w:t xml:space="preserve">la ocupan las empresas de </w:t>
      </w:r>
      <w:r w:rsidR="000C12D2" w:rsidRPr="000C12D2">
        <w:rPr>
          <w:rFonts w:ascii="Arial" w:eastAsia="Arial" w:hAnsi="Arial" w:cs="Arial"/>
          <w:b/>
          <w:sz w:val="22"/>
          <w:szCs w:val="22"/>
        </w:rPr>
        <w:t>Industria</w:t>
      </w:r>
      <w:r w:rsidR="000C12D2">
        <w:rPr>
          <w:rFonts w:ascii="Arial" w:eastAsia="Arial" w:hAnsi="Arial" w:cs="Arial"/>
          <w:bCs/>
          <w:sz w:val="22"/>
          <w:szCs w:val="22"/>
        </w:rPr>
        <w:t xml:space="preserve">, seguidas de </w:t>
      </w:r>
      <w:r w:rsidR="000310B8">
        <w:rPr>
          <w:rFonts w:ascii="Arial" w:eastAsia="Arial" w:hAnsi="Arial" w:cs="Arial"/>
          <w:bCs/>
          <w:sz w:val="22"/>
          <w:szCs w:val="22"/>
        </w:rPr>
        <w:t xml:space="preserve">las de </w:t>
      </w:r>
      <w:r w:rsidR="000C12D2" w:rsidRPr="000C12D2">
        <w:rPr>
          <w:rFonts w:ascii="Arial" w:eastAsia="Arial" w:hAnsi="Arial" w:cs="Arial"/>
          <w:b/>
          <w:sz w:val="22"/>
          <w:szCs w:val="22"/>
        </w:rPr>
        <w:t>Tecnología (21%)</w:t>
      </w:r>
      <w:r w:rsidR="000C12D2">
        <w:rPr>
          <w:rFonts w:ascii="Arial" w:eastAsia="Arial" w:hAnsi="Arial" w:cs="Arial"/>
          <w:bCs/>
          <w:sz w:val="22"/>
          <w:szCs w:val="22"/>
        </w:rPr>
        <w:t xml:space="preserve">. </w:t>
      </w:r>
      <w:r w:rsidR="000C12D2" w:rsidRPr="000C12D2">
        <w:rPr>
          <w:rFonts w:ascii="Arial" w:eastAsia="Arial" w:hAnsi="Arial" w:cs="Arial"/>
          <w:b/>
          <w:sz w:val="22"/>
          <w:szCs w:val="22"/>
        </w:rPr>
        <w:t xml:space="preserve">Transporte, logística y automoción </w:t>
      </w:r>
      <w:r w:rsidR="000C12D2" w:rsidRPr="000310B8">
        <w:rPr>
          <w:rFonts w:ascii="Arial" w:eastAsia="Arial" w:hAnsi="Arial" w:cs="Arial"/>
          <w:bCs/>
          <w:sz w:val="22"/>
          <w:szCs w:val="22"/>
        </w:rPr>
        <w:lastRenderedPageBreak/>
        <w:t>desciende en 10 puntos sus previsiones, hasta el 9%;</w:t>
      </w:r>
      <w:r w:rsidR="000C12D2">
        <w:rPr>
          <w:rFonts w:ascii="Arial" w:eastAsia="Arial" w:hAnsi="Arial" w:cs="Arial"/>
          <w:b/>
          <w:sz w:val="22"/>
          <w:szCs w:val="22"/>
        </w:rPr>
        <w:t xml:space="preserve"> </w:t>
      </w:r>
      <w:r w:rsidR="000C12D2" w:rsidRPr="00925414">
        <w:rPr>
          <w:rFonts w:ascii="Arial" w:eastAsia="Arial" w:hAnsi="Arial" w:cs="Arial"/>
          <w:bCs/>
          <w:sz w:val="22"/>
          <w:szCs w:val="22"/>
        </w:rPr>
        <w:t xml:space="preserve">tan solo un punto por encima de </w:t>
      </w:r>
      <w:r w:rsidR="000C12D2">
        <w:rPr>
          <w:rFonts w:ascii="Arial" w:eastAsia="Arial" w:hAnsi="Arial" w:cs="Arial"/>
          <w:b/>
          <w:sz w:val="22"/>
          <w:szCs w:val="22"/>
        </w:rPr>
        <w:t>Salud y Farmacia</w:t>
      </w:r>
      <w:r w:rsidR="000C12D2" w:rsidRPr="000310B8">
        <w:rPr>
          <w:rFonts w:ascii="Arial" w:eastAsia="Arial" w:hAnsi="Arial" w:cs="Arial"/>
          <w:bCs/>
          <w:sz w:val="22"/>
          <w:szCs w:val="22"/>
        </w:rPr>
        <w:t xml:space="preserve">, sector que en </w:t>
      </w:r>
      <w:r w:rsidR="00925414" w:rsidRPr="000310B8">
        <w:rPr>
          <w:rFonts w:ascii="Arial" w:eastAsia="Arial" w:hAnsi="Arial" w:cs="Arial"/>
          <w:bCs/>
          <w:sz w:val="22"/>
          <w:szCs w:val="22"/>
        </w:rPr>
        <w:t>el trimestre anterior encabezada la lista de sectores más optimistas.</w:t>
      </w:r>
    </w:p>
    <w:bookmarkEnd w:id="7"/>
    <w:p w14:paraId="2870480C" w14:textId="77777777" w:rsidR="000310B8" w:rsidRDefault="000310B8" w:rsidP="00195CAB">
      <w:pPr>
        <w:spacing w:before="120" w:line="288" w:lineRule="auto"/>
        <w:jc w:val="both"/>
        <w:rPr>
          <w:rFonts w:ascii="Arial" w:eastAsia="Arial" w:hAnsi="Arial" w:cs="Arial"/>
          <w:bCs/>
          <w:sz w:val="22"/>
          <w:szCs w:val="22"/>
        </w:rPr>
      </w:pPr>
      <w:r>
        <w:rPr>
          <w:rFonts w:ascii="Arial" w:eastAsia="Arial" w:hAnsi="Arial" w:cs="Arial"/>
          <w:bCs/>
          <w:sz w:val="22"/>
          <w:szCs w:val="22"/>
        </w:rPr>
        <w:t>La nota negativa la trae</w:t>
      </w:r>
      <w:r w:rsidRPr="000C12D2">
        <w:rPr>
          <w:rFonts w:ascii="Arial" w:eastAsia="Arial" w:hAnsi="Arial" w:cs="Arial"/>
          <w:bCs/>
          <w:sz w:val="22"/>
          <w:szCs w:val="22"/>
        </w:rPr>
        <w:t xml:space="preserve"> el sector de </w:t>
      </w:r>
      <w:r w:rsidRPr="000310B8">
        <w:rPr>
          <w:rFonts w:ascii="Arial" w:eastAsia="Arial" w:hAnsi="Arial" w:cs="Arial"/>
          <w:b/>
          <w:sz w:val="22"/>
          <w:szCs w:val="22"/>
        </w:rPr>
        <w:t>Publicidad y comunicación</w:t>
      </w:r>
      <w:r w:rsidRPr="000310B8">
        <w:rPr>
          <w:rFonts w:ascii="Arial" w:eastAsia="Arial" w:hAnsi="Arial" w:cs="Arial"/>
          <w:bCs/>
          <w:sz w:val="22"/>
          <w:szCs w:val="22"/>
        </w:rPr>
        <w:t>, que</w:t>
      </w:r>
      <w:r>
        <w:rPr>
          <w:rFonts w:ascii="Arial" w:eastAsia="Arial" w:hAnsi="Arial" w:cs="Arial"/>
          <w:bCs/>
          <w:sz w:val="22"/>
          <w:szCs w:val="22"/>
        </w:rPr>
        <w:t xml:space="preserve">, a pesar de mejorar en </w:t>
      </w:r>
      <w:r w:rsidRPr="000C12D2">
        <w:rPr>
          <w:rFonts w:ascii="Arial" w:eastAsia="Arial" w:hAnsi="Arial" w:cs="Arial"/>
          <w:bCs/>
          <w:sz w:val="22"/>
          <w:szCs w:val="22"/>
        </w:rPr>
        <w:t xml:space="preserve">4 puntos </w:t>
      </w:r>
      <w:r>
        <w:rPr>
          <w:rFonts w:ascii="Arial" w:eastAsia="Arial" w:hAnsi="Arial" w:cs="Arial"/>
          <w:bCs/>
          <w:sz w:val="22"/>
          <w:szCs w:val="22"/>
        </w:rPr>
        <w:t xml:space="preserve">sus últimos datos, </w:t>
      </w:r>
      <w:r w:rsidRPr="000C12D2">
        <w:rPr>
          <w:rFonts w:ascii="Arial" w:eastAsia="Arial" w:hAnsi="Arial" w:cs="Arial"/>
          <w:bCs/>
          <w:sz w:val="22"/>
          <w:szCs w:val="22"/>
        </w:rPr>
        <w:t>continúa con una previsión negativa del -</w:t>
      </w:r>
      <w:r>
        <w:rPr>
          <w:rFonts w:ascii="Arial" w:eastAsia="Arial" w:hAnsi="Arial" w:cs="Arial"/>
          <w:bCs/>
          <w:sz w:val="22"/>
          <w:szCs w:val="22"/>
        </w:rPr>
        <w:t>5</w:t>
      </w:r>
      <w:r w:rsidRPr="000C12D2">
        <w:rPr>
          <w:rFonts w:ascii="Arial" w:eastAsia="Arial" w:hAnsi="Arial" w:cs="Arial"/>
          <w:bCs/>
          <w:sz w:val="22"/>
          <w:szCs w:val="22"/>
        </w:rPr>
        <w:t>%.</w:t>
      </w:r>
    </w:p>
    <w:p w14:paraId="19052327" w14:textId="37FE2C67" w:rsidR="00204E64" w:rsidRPr="00687087" w:rsidRDefault="00925414" w:rsidP="00195CAB">
      <w:pPr>
        <w:spacing w:before="120" w:line="288" w:lineRule="auto"/>
        <w:jc w:val="right"/>
        <w:rPr>
          <w:rFonts w:ascii="Arial" w:eastAsiaTheme="minorEastAsia" w:hAnsi="Arial" w:cs="Arial"/>
          <w:b/>
          <w:bCs/>
          <w:i/>
          <w:iCs/>
          <w:sz w:val="18"/>
          <w:szCs w:val="18"/>
          <w:lang w:eastAsia="zh-CN"/>
        </w:rPr>
      </w:pPr>
      <w:r w:rsidRPr="00925414">
        <w:rPr>
          <w:rFonts w:ascii="Arial" w:eastAsia="Arial" w:hAnsi="Arial" w:cs="Arial"/>
          <w:bCs/>
          <w:noProof/>
          <w:sz w:val="22"/>
          <w:szCs w:val="22"/>
        </w:rPr>
        <w:drawing>
          <wp:anchor distT="0" distB="0" distL="114300" distR="114300" simplePos="0" relativeHeight="251658240" behindDoc="0" locked="0" layoutInCell="1" allowOverlap="1" wp14:anchorId="5B889430" wp14:editId="628C35F0">
            <wp:simplePos x="0" y="0"/>
            <wp:positionH relativeFrom="column">
              <wp:posOffset>1270</wp:posOffset>
            </wp:positionH>
            <wp:positionV relativeFrom="paragraph">
              <wp:posOffset>79375</wp:posOffset>
            </wp:positionV>
            <wp:extent cx="5760085" cy="1714500"/>
            <wp:effectExtent l="0" t="0" r="0" b="0"/>
            <wp:wrapSquare wrapText="bothSides"/>
            <wp:docPr id="1420978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78650" name=""/>
                    <pic:cNvPicPr/>
                  </pic:nvPicPr>
                  <pic:blipFill>
                    <a:blip r:embed="rId8">
                      <a:extLst>
                        <a:ext uri="{28A0092B-C50C-407E-A947-70E740481C1C}">
                          <a14:useLocalDpi xmlns:a14="http://schemas.microsoft.com/office/drawing/2010/main" val="0"/>
                        </a:ext>
                      </a:extLst>
                    </a:blip>
                    <a:stretch>
                      <a:fillRect/>
                    </a:stretch>
                  </pic:blipFill>
                  <pic:spPr>
                    <a:xfrm>
                      <a:off x="0" y="0"/>
                      <a:ext cx="5760085" cy="1714500"/>
                    </a:xfrm>
                    <a:prstGeom prst="rect">
                      <a:avLst/>
                    </a:prstGeom>
                  </pic:spPr>
                </pic:pic>
              </a:graphicData>
            </a:graphic>
          </wp:anchor>
        </w:drawing>
      </w:r>
      <w:r w:rsidR="00204E64" w:rsidRPr="00687087">
        <w:rPr>
          <w:rFonts w:ascii="Arial" w:eastAsiaTheme="minorEastAsia" w:hAnsi="Arial" w:cs="Arial"/>
          <w:b/>
          <w:bCs/>
          <w:i/>
          <w:iCs/>
          <w:sz w:val="18"/>
          <w:szCs w:val="18"/>
          <w:lang w:eastAsia="zh-CN"/>
        </w:rPr>
        <w:t xml:space="preserve">Intención </w:t>
      </w:r>
      <w:bookmarkStart w:id="8" w:name="_Hlk176278271"/>
      <w:r w:rsidR="00204E64" w:rsidRPr="00687087">
        <w:rPr>
          <w:rFonts w:ascii="Arial" w:eastAsiaTheme="minorEastAsia" w:hAnsi="Arial" w:cs="Arial"/>
          <w:b/>
          <w:bCs/>
          <w:i/>
          <w:iCs/>
          <w:sz w:val="18"/>
          <w:szCs w:val="18"/>
          <w:lang w:eastAsia="zh-CN"/>
        </w:rPr>
        <w:t xml:space="preserve">de contratación por </w:t>
      </w:r>
      <w:r w:rsidR="00204E64">
        <w:rPr>
          <w:rFonts w:ascii="Arial" w:eastAsiaTheme="minorEastAsia" w:hAnsi="Arial" w:cs="Arial"/>
          <w:b/>
          <w:bCs/>
          <w:i/>
          <w:iCs/>
          <w:sz w:val="18"/>
          <w:szCs w:val="18"/>
          <w:lang w:eastAsia="zh-CN"/>
        </w:rPr>
        <w:t>sectores</w:t>
      </w:r>
      <w:bookmarkEnd w:id="8"/>
    </w:p>
    <w:p w14:paraId="01A979BA" w14:textId="77777777" w:rsidR="00D44823" w:rsidRDefault="00D44823" w:rsidP="00195CAB">
      <w:pPr>
        <w:spacing w:before="120" w:line="288" w:lineRule="auto"/>
        <w:jc w:val="both"/>
        <w:rPr>
          <w:rFonts w:ascii="Arial" w:eastAsia="Arial" w:hAnsi="Arial" w:cs="Arial"/>
          <w:b/>
          <w:bCs/>
          <w:sz w:val="22"/>
          <w:szCs w:val="22"/>
        </w:rPr>
      </w:pPr>
    </w:p>
    <w:p w14:paraId="450BA574" w14:textId="77777777" w:rsidR="000310B8" w:rsidRDefault="000310B8" w:rsidP="00195CAB">
      <w:pPr>
        <w:spacing w:before="120" w:line="288" w:lineRule="auto"/>
        <w:jc w:val="both"/>
        <w:rPr>
          <w:rFonts w:ascii="Arial" w:eastAsia="Arial" w:hAnsi="Arial" w:cs="Arial"/>
          <w:b/>
          <w:bCs/>
          <w:sz w:val="22"/>
          <w:szCs w:val="22"/>
        </w:rPr>
      </w:pPr>
      <w:r>
        <w:rPr>
          <w:rFonts w:ascii="Arial" w:eastAsia="Arial" w:hAnsi="Arial" w:cs="Arial"/>
          <w:b/>
          <w:bCs/>
          <w:sz w:val="22"/>
          <w:szCs w:val="22"/>
        </w:rPr>
        <w:t>Todas las zonas manejan previsiones positivas, con</w:t>
      </w:r>
      <w:r w:rsidRPr="00925414">
        <w:rPr>
          <w:rFonts w:ascii="Arial" w:eastAsia="Arial" w:hAnsi="Arial" w:cs="Arial"/>
          <w:b/>
          <w:bCs/>
          <w:sz w:val="22"/>
          <w:szCs w:val="22"/>
        </w:rPr>
        <w:t xml:space="preserve"> </w:t>
      </w:r>
      <w:r w:rsidR="00925414" w:rsidRPr="00925414">
        <w:rPr>
          <w:rFonts w:ascii="Arial" w:eastAsia="Arial" w:hAnsi="Arial" w:cs="Arial"/>
          <w:b/>
          <w:bCs/>
          <w:sz w:val="22"/>
          <w:szCs w:val="22"/>
        </w:rPr>
        <w:t>Levante</w:t>
      </w:r>
      <w:r>
        <w:rPr>
          <w:rFonts w:ascii="Arial" w:eastAsia="Arial" w:hAnsi="Arial" w:cs="Arial"/>
          <w:b/>
          <w:bCs/>
          <w:sz w:val="22"/>
          <w:szCs w:val="22"/>
        </w:rPr>
        <w:t xml:space="preserve"> a la cabeza</w:t>
      </w:r>
    </w:p>
    <w:bookmarkEnd w:id="2"/>
    <w:p w14:paraId="20694A4C" w14:textId="52115253" w:rsidR="00195CAB" w:rsidRPr="00195CAB" w:rsidRDefault="00195CAB" w:rsidP="00195CAB">
      <w:pPr>
        <w:spacing w:before="120" w:line="288" w:lineRule="auto"/>
        <w:jc w:val="both"/>
        <w:rPr>
          <w:rFonts w:ascii="Arial" w:eastAsia="Arial" w:hAnsi="Arial" w:cs="Arial"/>
          <w:sz w:val="22"/>
          <w:szCs w:val="22"/>
        </w:rPr>
      </w:pPr>
      <w:r w:rsidRPr="00925414">
        <w:rPr>
          <w:rFonts w:ascii="Arial" w:eastAsia="Arial" w:hAnsi="Arial" w:cs="Arial"/>
          <w:sz w:val="22"/>
          <w:szCs w:val="22"/>
        </w:rPr>
        <w:t xml:space="preserve">A nivel </w:t>
      </w:r>
      <w:r>
        <w:rPr>
          <w:rFonts w:ascii="Arial" w:eastAsia="Arial" w:hAnsi="Arial" w:cs="Arial"/>
          <w:sz w:val="22"/>
          <w:szCs w:val="22"/>
        </w:rPr>
        <w:t>geográfico</w:t>
      </w:r>
      <w:r w:rsidRPr="00925414">
        <w:rPr>
          <w:rFonts w:ascii="Arial" w:eastAsia="Arial" w:hAnsi="Arial" w:cs="Arial"/>
          <w:sz w:val="22"/>
          <w:szCs w:val="22"/>
        </w:rPr>
        <w:t xml:space="preserve">, </w:t>
      </w:r>
      <w:bookmarkStart w:id="9" w:name="_Hlk176277622"/>
      <w:r w:rsidRPr="00925414">
        <w:rPr>
          <w:rFonts w:ascii="Arial" w:eastAsia="Arial" w:hAnsi="Arial" w:cs="Arial"/>
          <w:sz w:val="22"/>
          <w:szCs w:val="22"/>
        </w:rPr>
        <w:t xml:space="preserve">la </w:t>
      </w:r>
      <w:r w:rsidRPr="00925414">
        <w:rPr>
          <w:rFonts w:ascii="Arial" w:eastAsia="Arial" w:hAnsi="Arial" w:cs="Arial"/>
          <w:b/>
          <w:bCs/>
          <w:sz w:val="22"/>
          <w:szCs w:val="22"/>
        </w:rPr>
        <w:t xml:space="preserve">zona de Levante (Comunidad Valenciana y Región de Murcia) destaca </w:t>
      </w:r>
      <w:r>
        <w:rPr>
          <w:rFonts w:ascii="Arial" w:eastAsia="Arial" w:hAnsi="Arial" w:cs="Arial"/>
          <w:b/>
          <w:bCs/>
          <w:sz w:val="22"/>
          <w:szCs w:val="22"/>
        </w:rPr>
        <w:t xml:space="preserve">como la más optimista, </w:t>
      </w:r>
      <w:r w:rsidRPr="00925414">
        <w:rPr>
          <w:rFonts w:ascii="Arial" w:eastAsia="Arial" w:hAnsi="Arial" w:cs="Arial"/>
          <w:b/>
          <w:bCs/>
          <w:sz w:val="22"/>
          <w:szCs w:val="22"/>
        </w:rPr>
        <w:t>con una previsión neta del 26%,</w:t>
      </w:r>
      <w:r w:rsidRPr="00925414">
        <w:rPr>
          <w:rFonts w:ascii="Arial" w:eastAsia="Arial" w:hAnsi="Arial" w:cs="Arial"/>
          <w:sz w:val="22"/>
          <w:szCs w:val="22"/>
        </w:rPr>
        <w:t xml:space="preserve"> lo que representa un incremento de 15 puntos respecto al trimestre anterior. </w:t>
      </w:r>
      <w:bookmarkStart w:id="10" w:name="_Hlk176283444"/>
      <w:bookmarkEnd w:id="9"/>
      <w:r w:rsidRPr="00925414">
        <w:rPr>
          <w:rFonts w:ascii="Arial" w:eastAsia="Arial" w:hAnsi="Arial" w:cs="Arial"/>
          <w:sz w:val="22"/>
          <w:szCs w:val="22"/>
        </w:rPr>
        <w:t xml:space="preserve">El </w:t>
      </w:r>
      <w:r w:rsidRPr="00925414">
        <w:rPr>
          <w:rFonts w:ascii="Arial" w:eastAsia="Arial" w:hAnsi="Arial" w:cs="Arial"/>
          <w:b/>
          <w:bCs/>
          <w:sz w:val="22"/>
          <w:szCs w:val="22"/>
        </w:rPr>
        <w:t xml:space="preserve">Noreste (Cataluña y Baleares) </w:t>
      </w:r>
      <w:r w:rsidRPr="00195CAB">
        <w:rPr>
          <w:rFonts w:ascii="Arial" w:eastAsia="Arial" w:hAnsi="Arial" w:cs="Arial"/>
          <w:sz w:val="22"/>
          <w:szCs w:val="22"/>
        </w:rPr>
        <w:t>también muestra un fuerte crecimiento</w:t>
      </w:r>
      <w:r w:rsidRPr="00925414">
        <w:rPr>
          <w:rFonts w:ascii="Arial" w:eastAsia="Arial" w:hAnsi="Arial" w:cs="Arial"/>
          <w:sz w:val="22"/>
          <w:szCs w:val="22"/>
        </w:rPr>
        <w:t xml:space="preserve"> </w:t>
      </w:r>
      <w:r>
        <w:rPr>
          <w:rFonts w:ascii="Arial" w:eastAsia="Arial" w:hAnsi="Arial" w:cs="Arial"/>
          <w:sz w:val="22"/>
          <w:szCs w:val="22"/>
        </w:rPr>
        <w:t xml:space="preserve">de </w:t>
      </w:r>
      <w:r w:rsidRPr="00925414">
        <w:rPr>
          <w:rFonts w:ascii="Arial" w:eastAsia="Arial" w:hAnsi="Arial" w:cs="Arial"/>
          <w:sz w:val="22"/>
          <w:szCs w:val="22"/>
        </w:rPr>
        <w:t>9 puntos en comparación con el tercer trimestre</w:t>
      </w:r>
      <w:r>
        <w:rPr>
          <w:rFonts w:ascii="Arial" w:eastAsia="Arial" w:hAnsi="Arial" w:cs="Arial"/>
          <w:sz w:val="22"/>
          <w:szCs w:val="22"/>
        </w:rPr>
        <w:t xml:space="preserve"> y </w:t>
      </w:r>
      <w:r w:rsidRPr="00195CAB">
        <w:rPr>
          <w:rFonts w:ascii="Arial" w:eastAsia="Arial" w:hAnsi="Arial" w:cs="Arial"/>
          <w:sz w:val="22"/>
          <w:szCs w:val="22"/>
        </w:rPr>
        <w:t>alcanza un 22%;</w:t>
      </w:r>
      <w:r>
        <w:rPr>
          <w:rFonts w:ascii="Arial" w:eastAsia="Arial" w:hAnsi="Arial" w:cs="Arial"/>
          <w:sz w:val="22"/>
          <w:szCs w:val="22"/>
        </w:rPr>
        <w:t xml:space="preserve"> mientras que el crecimiento de la zona </w:t>
      </w:r>
      <w:r w:rsidRPr="00925414">
        <w:rPr>
          <w:rFonts w:ascii="Arial" w:eastAsia="Arial" w:hAnsi="Arial" w:cs="Arial"/>
          <w:b/>
          <w:bCs/>
          <w:sz w:val="22"/>
          <w:szCs w:val="22"/>
        </w:rPr>
        <w:t>Sur</w:t>
      </w:r>
      <w:r>
        <w:rPr>
          <w:rFonts w:ascii="Arial" w:eastAsia="Arial" w:hAnsi="Arial" w:cs="Arial"/>
          <w:b/>
          <w:bCs/>
          <w:sz w:val="22"/>
          <w:szCs w:val="22"/>
        </w:rPr>
        <w:t xml:space="preserve"> </w:t>
      </w:r>
      <w:r w:rsidRPr="00925414">
        <w:rPr>
          <w:rFonts w:ascii="Arial" w:eastAsia="Arial" w:hAnsi="Arial" w:cs="Arial"/>
          <w:b/>
          <w:bCs/>
          <w:sz w:val="22"/>
          <w:szCs w:val="22"/>
        </w:rPr>
        <w:t>(Andalucía, Extremadura y Canarias)</w:t>
      </w:r>
      <w:r>
        <w:rPr>
          <w:rFonts w:ascii="Arial" w:eastAsia="Arial" w:hAnsi="Arial" w:cs="Arial"/>
          <w:sz w:val="22"/>
          <w:szCs w:val="22"/>
        </w:rPr>
        <w:t xml:space="preserve"> </w:t>
      </w:r>
      <w:r w:rsidR="00E45460">
        <w:rPr>
          <w:rFonts w:ascii="Arial" w:eastAsia="Arial" w:hAnsi="Arial" w:cs="Arial"/>
          <w:sz w:val="22"/>
          <w:szCs w:val="22"/>
        </w:rPr>
        <w:t xml:space="preserve">es de 2 puntos, para </w:t>
      </w:r>
      <w:r>
        <w:rPr>
          <w:rFonts w:ascii="Arial" w:eastAsia="Arial" w:hAnsi="Arial" w:cs="Arial"/>
          <w:sz w:val="22"/>
          <w:szCs w:val="22"/>
        </w:rPr>
        <w:t>marca</w:t>
      </w:r>
      <w:r w:rsidR="00E45460">
        <w:rPr>
          <w:rFonts w:ascii="Arial" w:eastAsia="Arial" w:hAnsi="Arial" w:cs="Arial"/>
          <w:sz w:val="22"/>
          <w:szCs w:val="22"/>
        </w:rPr>
        <w:t>r</w:t>
      </w:r>
      <w:r>
        <w:rPr>
          <w:rFonts w:ascii="Arial" w:eastAsia="Arial" w:hAnsi="Arial" w:cs="Arial"/>
          <w:sz w:val="22"/>
          <w:szCs w:val="22"/>
        </w:rPr>
        <w:t xml:space="preserve"> un </w:t>
      </w:r>
      <w:r w:rsidRPr="00195CAB">
        <w:rPr>
          <w:rFonts w:ascii="Arial" w:eastAsia="Arial" w:hAnsi="Arial" w:cs="Arial"/>
          <w:sz w:val="22"/>
          <w:szCs w:val="22"/>
        </w:rPr>
        <w:t>21%</w:t>
      </w:r>
      <w:r w:rsidR="00E45460">
        <w:rPr>
          <w:rFonts w:ascii="Arial" w:eastAsia="Arial" w:hAnsi="Arial" w:cs="Arial"/>
          <w:sz w:val="22"/>
          <w:szCs w:val="22"/>
        </w:rPr>
        <w:t>.</w:t>
      </w:r>
    </w:p>
    <w:bookmarkEnd w:id="10"/>
    <w:p w14:paraId="0FCD9218" w14:textId="77777777" w:rsidR="00195CAB" w:rsidRDefault="00195CAB" w:rsidP="00195CAB">
      <w:pPr>
        <w:spacing w:before="120" w:line="288" w:lineRule="auto"/>
        <w:jc w:val="both"/>
        <w:rPr>
          <w:rFonts w:ascii="Arial" w:eastAsiaTheme="minorEastAsia" w:hAnsi="Arial" w:cs="Arial"/>
          <w:b/>
          <w:bCs/>
          <w:i/>
          <w:iCs/>
          <w:sz w:val="18"/>
          <w:szCs w:val="18"/>
          <w:lang w:eastAsia="zh-CN"/>
        </w:rPr>
      </w:pPr>
      <w:r w:rsidRPr="00925414">
        <w:rPr>
          <w:rFonts w:ascii="Arial" w:eastAsiaTheme="minorEastAsia" w:hAnsi="Arial" w:cs="Arial"/>
          <w:b/>
          <w:bCs/>
          <w:i/>
          <w:iCs/>
          <w:noProof/>
          <w:sz w:val="18"/>
          <w:szCs w:val="18"/>
          <w:lang w:eastAsia="zh-CN"/>
        </w:rPr>
        <w:drawing>
          <wp:inline distT="0" distB="0" distL="0" distR="0" wp14:anchorId="5DD6C573" wp14:editId="0A4FF782">
            <wp:extent cx="5702935" cy="1922780"/>
            <wp:effectExtent l="0" t="0" r="0" b="1270"/>
            <wp:docPr id="3564486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4861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02935" cy="1922780"/>
                    </a:xfrm>
                    <a:prstGeom prst="rect">
                      <a:avLst/>
                    </a:prstGeom>
                  </pic:spPr>
                </pic:pic>
              </a:graphicData>
            </a:graphic>
          </wp:inline>
        </w:drawing>
      </w:r>
      <w:bookmarkStart w:id="11" w:name="_Hlk176278209"/>
    </w:p>
    <w:p w14:paraId="05606386" w14:textId="229D8394" w:rsidR="00195CAB" w:rsidRDefault="00195CAB" w:rsidP="00195CAB">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 xml:space="preserve">regiones y evolución </w:t>
      </w:r>
      <w:proofErr w:type="spellStart"/>
      <w:r>
        <w:rPr>
          <w:rFonts w:ascii="Arial" w:eastAsiaTheme="minorEastAsia" w:hAnsi="Arial" w:cs="Arial"/>
          <w:b/>
          <w:bCs/>
          <w:i/>
          <w:iCs/>
          <w:sz w:val="18"/>
          <w:szCs w:val="18"/>
          <w:lang w:eastAsia="zh-CN"/>
        </w:rPr>
        <w:t>intertrimestral</w:t>
      </w:r>
      <w:bookmarkEnd w:id="11"/>
      <w:proofErr w:type="spellEnd"/>
    </w:p>
    <w:p w14:paraId="73B88869" w14:textId="77777777" w:rsidR="00195CAB" w:rsidRDefault="00195CAB" w:rsidP="00195CAB">
      <w:pPr>
        <w:spacing w:before="120" w:line="288" w:lineRule="auto"/>
        <w:jc w:val="both"/>
        <w:rPr>
          <w:rFonts w:ascii="Arial" w:eastAsia="Arial" w:hAnsi="Arial" w:cs="Arial"/>
          <w:sz w:val="22"/>
          <w:szCs w:val="22"/>
        </w:rPr>
      </w:pPr>
    </w:p>
    <w:p w14:paraId="02540620" w14:textId="2483EA19" w:rsidR="00195CAB" w:rsidRPr="00195CAB" w:rsidRDefault="00195CAB" w:rsidP="00195CAB">
      <w:pPr>
        <w:spacing w:before="120" w:line="288" w:lineRule="auto"/>
        <w:jc w:val="both"/>
        <w:rPr>
          <w:rFonts w:ascii="Arial" w:eastAsia="Arial" w:hAnsi="Arial" w:cs="Arial"/>
          <w:sz w:val="22"/>
          <w:szCs w:val="22"/>
        </w:rPr>
      </w:pPr>
      <w:bookmarkStart w:id="12" w:name="_Hlk176283469"/>
      <w:r w:rsidRPr="00925414">
        <w:rPr>
          <w:rFonts w:ascii="Arial" w:eastAsia="Arial" w:hAnsi="Arial" w:cs="Arial"/>
          <w:sz w:val="22"/>
          <w:szCs w:val="22"/>
        </w:rPr>
        <w:t xml:space="preserve">Por otro lado, </w:t>
      </w:r>
      <w:r>
        <w:rPr>
          <w:rFonts w:ascii="Arial" w:eastAsia="Arial" w:hAnsi="Arial" w:cs="Arial"/>
          <w:sz w:val="22"/>
          <w:szCs w:val="22"/>
        </w:rPr>
        <w:t xml:space="preserve">la región </w:t>
      </w:r>
      <w:r w:rsidRPr="00925414">
        <w:rPr>
          <w:rFonts w:ascii="Arial" w:eastAsia="Arial" w:hAnsi="Arial" w:cs="Arial"/>
          <w:b/>
          <w:bCs/>
          <w:sz w:val="22"/>
          <w:szCs w:val="22"/>
        </w:rPr>
        <w:t>Centro (Madrid y Castilla-La Mancha</w:t>
      </w:r>
      <w:r>
        <w:rPr>
          <w:rFonts w:ascii="Arial" w:eastAsia="Arial" w:hAnsi="Arial" w:cs="Arial"/>
          <w:b/>
          <w:bCs/>
          <w:sz w:val="22"/>
          <w:szCs w:val="22"/>
        </w:rPr>
        <w:t xml:space="preserve">) </w:t>
      </w:r>
      <w:r>
        <w:rPr>
          <w:rFonts w:ascii="Arial" w:eastAsia="Arial" w:hAnsi="Arial" w:cs="Arial"/>
          <w:sz w:val="22"/>
          <w:szCs w:val="22"/>
        </w:rPr>
        <w:t xml:space="preserve">maneja </w:t>
      </w:r>
      <w:r w:rsidRPr="00925414">
        <w:rPr>
          <w:rFonts w:ascii="Arial" w:eastAsia="Arial" w:hAnsi="Arial" w:cs="Arial"/>
          <w:sz w:val="22"/>
          <w:szCs w:val="22"/>
        </w:rPr>
        <w:t>un</w:t>
      </w:r>
      <w:r>
        <w:rPr>
          <w:rFonts w:ascii="Arial" w:eastAsia="Arial" w:hAnsi="Arial" w:cs="Arial"/>
          <w:sz w:val="22"/>
          <w:szCs w:val="22"/>
        </w:rPr>
        <w:t>as previsiones del</w:t>
      </w:r>
      <w:r w:rsidRPr="00925414">
        <w:rPr>
          <w:rFonts w:ascii="Arial" w:eastAsia="Arial" w:hAnsi="Arial" w:cs="Arial"/>
          <w:sz w:val="22"/>
          <w:szCs w:val="22"/>
        </w:rPr>
        <w:t xml:space="preserve"> 18%, mejorando 7 puntos </w:t>
      </w:r>
      <w:r>
        <w:rPr>
          <w:rFonts w:ascii="Arial" w:eastAsia="Arial" w:hAnsi="Arial" w:cs="Arial"/>
          <w:sz w:val="22"/>
          <w:szCs w:val="22"/>
        </w:rPr>
        <w:t xml:space="preserve">con respecto al trimestre anterior. El </w:t>
      </w:r>
      <w:r w:rsidRPr="00925414">
        <w:rPr>
          <w:rFonts w:ascii="Arial" w:eastAsia="Arial" w:hAnsi="Arial" w:cs="Arial"/>
          <w:b/>
          <w:bCs/>
          <w:sz w:val="22"/>
          <w:szCs w:val="22"/>
        </w:rPr>
        <w:t xml:space="preserve">Norte (Aragón, Cantabria, La Rioja, Navarra y País Vasco) </w:t>
      </w:r>
      <w:r w:rsidRPr="00925414">
        <w:rPr>
          <w:rFonts w:ascii="Arial" w:eastAsia="Arial" w:hAnsi="Arial" w:cs="Arial"/>
          <w:sz w:val="22"/>
          <w:szCs w:val="22"/>
        </w:rPr>
        <w:t xml:space="preserve">muestra </w:t>
      </w:r>
      <w:r>
        <w:rPr>
          <w:rFonts w:ascii="Arial" w:eastAsia="Arial" w:hAnsi="Arial" w:cs="Arial"/>
          <w:sz w:val="22"/>
          <w:szCs w:val="22"/>
        </w:rPr>
        <w:t xml:space="preserve">unas </w:t>
      </w:r>
      <w:r w:rsidRPr="00925414">
        <w:rPr>
          <w:rFonts w:ascii="Arial" w:eastAsia="Arial" w:hAnsi="Arial" w:cs="Arial"/>
          <w:sz w:val="22"/>
          <w:szCs w:val="22"/>
        </w:rPr>
        <w:t>expectativas del 15%</w:t>
      </w:r>
      <w:r>
        <w:rPr>
          <w:rFonts w:ascii="Arial" w:eastAsia="Arial" w:hAnsi="Arial" w:cs="Arial"/>
          <w:sz w:val="22"/>
          <w:szCs w:val="22"/>
        </w:rPr>
        <w:t xml:space="preserve">. Y, finalmente, </w:t>
      </w:r>
      <w:r w:rsidRPr="00925414">
        <w:rPr>
          <w:rFonts w:ascii="Arial" w:eastAsia="Arial" w:hAnsi="Arial" w:cs="Arial"/>
          <w:b/>
          <w:bCs/>
          <w:sz w:val="22"/>
          <w:szCs w:val="22"/>
        </w:rPr>
        <w:t xml:space="preserve">Noroeste (Galicia, Asturias y Castilla y León) </w:t>
      </w:r>
      <w:r w:rsidRPr="00195CAB">
        <w:rPr>
          <w:rFonts w:ascii="Arial" w:eastAsia="Arial" w:hAnsi="Arial" w:cs="Arial"/>
          <w:sz w:val="22"/>
          <w:szCs w:val="22"/>
        </w:rPr>
        <w:t>registra las previsiones más prudentes con un 13%.</w:t>
      </w:r>
    </w:p>
    <w:bookmarkEnd w:id="12"/>
    <w:p w14:paraId="5702C7E1" w14:textId="77777777" w:rsidR="00195CAB" w:rsidRPr="00195CAB" w:rsidRDefault="00195CAB" w:rsidP="00195CAB">
      <w:pPr>
        <w:spacing w:before="120" w:line="288" w:lineRule="auto"/>
        <w:jc w:val="both"/>
        <w:rPr>
          <w:rFonts w:ascii="Arial" w:eastAsiaTheme="minorEastAsia" w:hAnsi="Arial" w:cs="Arial"/>
          <w:sz w:val="22"/>
          <w:szCs w:val="22"/>
          <w:lang w:eastAsia="zh-CN"/>
        </w:rPr>
      </w:pPr>
    </w:p>
    <w:p w14:paraId="5C260BBC" w14:textId="77777777" w:rsidR="00925414" w:rsidRPr="00925414" w:rsidRDefault="00925414" w:rsidP="00195CAB">
      <w:pPr>
        <w:spacing w:before="120" w:line="288" w:lineRule="auto"/>
        <w:jc w:val="both"/>
        <w:rPr>
          <w:rFonts w:ascii="Arial" w:eastAsiaTheme="minorEastAsia" w:hAnsi="Arial" w:cs="Arial"/>
          <w:b/>
          <w:bCs/>
          <w:sz w:val="22"/>
          <w:szCs w:val="22"/>
          <w:lang w:eastAsia="zh-CN"/>
        </w:rPr>
      </w:pPr>
      <w:r w:rsidRPr="00925414">
        <w:rPr>
          <w:rFonts w:ascii="Arial" w:eastAsiaTheme="minorEastAsia" w:hAnsi="Arial" w:cs="Arial"/>
          <w:b/>
          <w:bCs/>
          <w:sz w:val="22"/>
          <w:szCs w:val="22"/>
          <w:lang w:eastAsia="zh-CN"/>
        </w:rPr>
        <w:t>Las grandes empresas lideran las previsiones de generación de empleo</w:t>
      </w:r>
    </w:p>
    <w:p w14:paraId="55BF33BF" w14:textId="0956215A" w:rsidR="00854BFA" w:rsidRPr="00FA56FE" w:rsidRDefault="00854BFA" w:rsidP="00195CAB">
      <w:pPr>
        <w:spacing w:before="120" w:line="288" w:lineRule="auto"/>
        <w:jc w:val="both"/>
        <w:rPr>
          <w:rFonts w:ascii="Arial" w:eastAsiaTheme="minorEastAsia" w:hAnsi="Arial" w:cs="Arial"/>
          <w:sz w:val="22"/>
          <w:szCs w:val="22"/>
          <w:lang w:eastAsia="zh-CN"/>
        </w:rPr>
      </w:pPr>
      <w:r w:rsidRPr="00854BFA">
        <w:rPr>
          <w:rFonts w:ascii="Arial" w:eastAsiaTheme="minorEastAsia" w:hAnsi="Arial" w:cs="Arial"/>
          <w:sz w:val="22"/>
          <w:szCs w:val="22"/>
          <w:lang w:eastAsia="zh-CN"/>
        </w:rPr>
        <w:t xml:space="preserve">En el análisis por tamaño de las empresas, </w:t>
      </w:r>
      <w:r w:rsidRPr="00854BFA">
        <w:rPr>
          <w:rFonts w:ascii="Arial" w:eastAsiaTheme="minorEastAsia" w:hAnsi="Arial" w:cs="Arial"/>
          <w:b/>
          <w:bCs/>
          <w:sz w:val="22"/>
          <w:szCs w:val="22"/>
          <w:lang w:eastAsia="zh-CN"/>
        </w:rPr>
        <w:t xml:space="preserve">aquellas </w:t>
      </w:r>
      <w:r w:rsidR="00FA56FE">
        <w:rPr>
          <w:rFonts w:ascii="Arial" w:eastAsiaTheme="minorEastAsia" w:hAnsi="Arial" w:cs="Arial"/>
          <w:b/>
          <w:bCs/>
          <w:sz w:val="22"/>
          <w:szCs w:val="22"/>
          <w:lang w:eastAsia="zh-CN"/>
        </w:rPr>
        <w:t>de</w:t>
      </w:r>
      <w:r w:rsidRPr="00854BFA">
        <w:rPr>
          <w:rFonts w:ascii="Arial" w:eastAsiaTheme="minorEastAsia" w:hAnsi="Arial" w:cs="Arial"/>
          <w:b/>
          <w:bCs/>
          <w:sz w:val="22"/>
          <w:szCs w:val="22"/>
          <w:lang w:eastAsia="zh-CN"/>
        </w:rPr>
        <w:t xml:space="preserve"> entre 250 y 999 empleados destacan como las más optimistas</w:t>
      </w:r>
      <w:r w:rsidR="00833581">
        <w:rPr>
          <w:rFonts w:ascii="Arial" w:eastAsiaTheme="minorEastAsia" w:hAnsi="Arial" w:cs="Arial"/>
          <w:b/>
          <w:bCs/>
          <w:sz w:val="22"/>
          <w:szCs w:val="22"/>
          <w:lang w:eastAsia="zh-CN"/>
        </w:rPr>
        <w:t xml:space="preserve"> por segundo trimestre consecutivo</w:t>
      </w:r>
      <w:r w:rsidRPr="00FA56FE">
        <w:rPr>
          <w:rFonts w:ascii="Arial" w:eastAsiaTheme="minorEastAsia" w:hAnsi="Arial" w:cs="Arial"/>
          <w:sz w:val="22"/>
          <w:szCs w:val="22"/>
          <w:lang w:eastAsia="zh-CN"/>
        </w:rPr>
        <w:t xml:space="preserve">, con una previsión neta de contratación del </w:t>
      </w:r>
      <w:r w:rsidR="00833581" w:rsidRPr="00FA56FE">
        <w:rPr>
          <w:rFonts w:ascii="Arial" w:eastAsiaTheme="minorEastAsia" w:hAnsi="Arial" w:cs="Arial"/>
          <w:sz w:val="22"/>
          <w:szCs w:val="22"/>
          <w:lang w:eastAsia="zh-CN"/>
        </w:rPr>
        <w:t>26</w:t>
      </w:r>
      <w:r w:rsidRPr="00FA56FE">
        <w:rPr>
          <w:rFonts w:ascii="Arial" w:eastAsiaTheme="minorEastAsia" w:hAnsi="Arial" w:cs="Arial"/>
          <w:sz w:val="22"/>
          <w:szCs w:val="22"/>
          <w:lang w:eastAsia="zh-CN"/>
        </w:rPr>
        <w:t>%</w:t>
      </w:r>
      <w:r w:rsidR="00FA56FE">
        <w:rPr>
          <w:rFonts w:ascii="Arial" w:eastAsiaTheme="minorEastAsia" w:hAnsi="Arial" w:cs="Arial"/>
          <w:sz w:val="22"/>
          <w:szCs w:val="22"/>
          <w:lang w:eastAsia="zh-CN"/>
        </w:rPr>
        <w:t xml:space="preserve">. </w:t>
      </w:r>
      <w:r w:rsidRPr="00854BFA">
        <w:rPr>
          <w:rFonts w:ascii="Arial" w:eastAsiaTheme="minorEastAsia" w:hAnsi="Arial" w:cs="Arial"/>
          <w:sz w:val="22"/>
          <w:szCs w:val="22"/>
          <w:lang w:eastAsia="zh-CN"/>
        </w:rPr>
        <w:t>Les siguen de cerca las compañías de 1.000 a 4.999 empleados</w:t>
      </w:r>
      <w:r w:rsidR="00FA56FE">
        <w:rPr>
          <w:rFonts w:ascii="Arial" w:eastAsiaTheme="minorEastAsia" w:hAnsi="Arial" w:cs="Arial"/>
          <w:sz w:val="22"/>
          <w:szCs w:val="22"/>
          <w:lang w:eastAsia="zh-CN"/>
        </w:rPr>
        <w:t xml:space="preserve"> </w:t>
      </w:r>
      <w:r w:rsidR="00FA56FE" w:rsidRPr="00854BFA">
        <w:rPr>
          <w:rFonts w:ascii="Arial" w:eastAsiaTheme="minorEastAsia" w:hAnsi="Arial" w:cs="Arial"/>
          <w:sz w:val="22"/>
          <w:szCs w:val="22"/>
          <w:lang w:eastAsia="zh-CN"/>
        </w:rPr>
        <w:t>y las de más de 5.000 empleados</w:t>
      </w:r>
      <w:r w:rsidRPr="00854BFA">
        <w:rPr>
          <w:rFonts w:ascii="Arial" w:eastAsiaTheme="minorEastAsia" w:hAnsi="Arial" w:cs="Arial"/>
          <w:sz w:val="22"/>
          <w:szCs w:val="22"/>
          <w:lang w:eastAsia="zh-CN"/>
        </w:rPr>
        <w:t xml:space="preserve">, </w:t>
      </w:r>
      <w:r w:rsidR="00FA56FE">
        <w:rPr>
          <w:rFonts w:ascii="Arial" w:eastAsiaTheme="minorEastAsia" w:hAnsi="Arial" w:cs="Arial"/>
          <w:sz w:val="22"/>
          <w:szCs w:val="22"/>
          <w:lang w:eastAsia="zh-CN"/>
        </w:rPr>
        <w:t xml:space="preserve">ambas </w:t>
      </w:r>
      <w:r w:rsidRPr="00854BFA">
        <w:rPr>
          <w:rFonts w:ascii="Arial" w:eastAsiaTheme="minorEastAsia" w:hAnsi="Arial" w:cs="Arial"/>
          <w:sz w:val="22"/>
          <w:szCs w:val="22"/>
          <w:lang w:eastAsia="zh-CN"/>
        </w:rPr>
        <w:t xml:space="preserve">con un </w:t>
      </w:r>
      <w:r w:rsidR="00FA56FE">
        <w:rPr>
          <w:rFonts w:ascii="Arial" w:eastAsiaTheme="minorEastAsia" w:hAnsi="Arial" w:cs="Arial"/>
          <w:sz w:val="22"/>
          <w:szCs w:val="22"/>
          <w:lang w:eastAsia="zh-CN"/>
        </w:rPr>
        <w:t>resultado neto del 24</w:t>
      </w:r>
      <w:r w:rsidRPr="00854BFA">
        <w:rPr>
          <w:rFonts w:ascii="Arial" w:eastAsiaTheme="minorEastAsia" w:hAnsi="Arial" w:cs="Arial"/>
          <w:sz w:val="22"/>
          <w:szCs w:val="22"/>
          <w:lang w:eastAsia="zh-CN"/>
        </w:rPr>
        <w:t>%</w:t>
      </w:r>
      <w:r w:rsidR="00FA56FE">
        <w:rPr>
          <w:rFonts w:ascii="Arial" w:eastAsiaTheme="minorEastAsia" w:hAnsi="Arial" w:cs="Arial"/>
          <w:sz w:val="22"/>
          <w:szCs w:val="22"/>
          <w:lang w:eastAsia="zh-CN"/>
        </w:rPr>
        <w:t xml:space="preserve">, y </w:t>
      </w:r>
      <w:r w:rsidR="00FA56FE" w:rsidRPr="00FA56FE">
        <w:rPr>
          <w:rFonts w:ascii="Arial" w:eastAsiaTheme="minorEastAsia" w:hAnsi="Arial" w:cs="Arial"/>
          <w:sz w:val="22"/>
          <w:szCs w:val="22"/>
          <w:lang w:eastAsia="zh-CN"/>
        </w:rPr>
        <w:t xml:space="preserve">las </w:t>
      </w:r>
      <w:r w:rsidR="00FA56FE" w:rsidRPr="00833581">
        <w:rPr>
          <w:rFonts w:ascii="Arial" w:eastAsiaTheme="minorEastAsia" w:hAnsi="Arial" w:cs="Arial"/>
          <w:sz w:val="22"/>
          <w:szCs w:val="22"/>
          <w:lang w:eastAsia="zh-CN"/>
        </w:rPr>
        <w:t xml:space="preserve">organizaciones de entre 50 y </w:t>
      </w:r>
      <w:r w:rsidR="00FA56FE" w:rsidRPr="00FA56FE">
        <w:rPr>
          <w:rFonts w:ascii="Arial" w:eastAsiaTheme="minorEastAsia" w:hAnsi="Arial" w:cs="Arial"/>
          <w:sz w:val="22"/>
          <w:szCs w:val="22"/>
          <w:lang w:eastAsia="zh-CN"/>
        </w:rPr>
        <w:t>249</w:t>
      </w:r>
      <w:r w:rsidR="00FA56FE" w:rsidRPr="00833581">
        <w:rPr>
          <w:rFonts w:ascii="Arial" w:eastAsiaTheme="minorEastAsia" w:hAnsi="Arial" w:cs="Arial"/>
          <w:sz w:val="22"/>
          <w:szCs w:val="22"/>
          <w:lang w:eastAsia="zh-CN"/>
        </w:rPr>
        <w:t xml:space="preserve"> empleados</w:t>
      </w:r>
      <w:r w:rsidR="00FA56FE">
        <w:rPr>
          <w:rFonts w:ascii="Arial" w:eastAsiaTheme="minorEastAsia" w:hAnsi="Arial" w:cs="Arial"/>
          <w:sz w:val="22"/>
          <w:szCs w:val="22"/>
          <w:lang w:eastAsia="zh-CN"/>
        </w:rPr>
        <w:t>, con un 21%</w:t>
      </w:r>
    </w:p>
    <w:p w14:paraId="5F114553" w14:textId="248337F6" w:rsidR="00FA56FE" w:rsidRDefault="00854BFA" w:rsidP="00195CAB">
      <w:pPr>
        <w:spacing w:before="120" w:line="288" w:lineRule="auto"/>
        <w:jc w:val="both"/>
        <w:rPr>
          <w:rFonts w:ascii="Arial" w:eastAsiaTheme="minorEastAsia" w:hAnsi="Arial" w:cs="Arial"/>
          <w:b/>
          <w:bCs/>
          <w:sz w:val="22"/>
          <w:szCs w:val="22"/>
          <w:lang w:eastAsia="zh-CN"/>
        </w:rPr>
      </w:pPr>
      <w:r w:rsidRPr="00854BFA">
        <w:rPr>
          <w:rFonts w:ascii="Arial" w:eastAsiaTheme="minorEastAsia" w:hAnsi="Arial" w:cs="Arial"/>
          <w:sz w:val="22"/>
          <w:szCs w:val="22"/>
          <w:lang w:eastAsia="zh-CN"/>
        </w:rPr>
        <w:t xml:space="preserve">Por su parte, </w:t>
      </w:r>
      <w:r w:rsidR="00195CAB">
        <w:rPr>
          <w:rFonts w:ascii="Arial" w:eastAsiaTheme="minorEastAsia" w:hAnsi="Arial" w:cs="Arial"/>
          <w:sz w:val="22"/>
          <w:szCs w:val="22"/>
          <w:lang w:eastAsia="zh-CN"/>
        </w:rPr>
        <w:t>las de menos de 50 empleados, aunque de forma más moderada, mantienen su optimismo con un 17%</w:t>
      </w:r>
      <w:r w:rsidR="00FA56FE">
        <w:rPr>
          <w:rFonts w:ascii="Arial" w:eastAsiaTheme="minorEastAsia" w:hAnsi="Arial" w:cs="Arial"/>
          <w:sz w:val="22"/>
          <w:szCs w:val="22"/>
          <w:lang w:eastAsia="zh-CN"/>
        </w:rPr>
        <w:t xml:space="preserve">; mientras que </w:t>
      </w:r>
      <w:r w:rsidR="00195CAB" w:rsidRPr="00FA56FE">
        <w:rPr>
          <w:rFonts w:ascii="Arial" w:eastAsiaTheme="minorEastAsia" w:hAnsi="Arial" w:cs="Arial"/>
          <w:sz w:val="22"/>
          <w:szCs w:val="22"/>
          <w:lang w:eastAsia="zh-CN"/>
        </w:rPr>
        <w:t xml:space="preserve">las empresas </w:t>
      </w:r>
      <w:r w:rsidR="00195CAB">
        <w:rPr>
          <w:rFonts w:ascii="Arial" w:eastAsiaTheme="minorEastAsia" w:hAnsi="Arial" w:cs="Arial"/>
          <w:sz w:val="22"/>
          <w:szCs w:val="22"/>
          <w:lang w:eastAsia="zh-CN"/>
        </w:rPr>
        <w:t>más pequeñas (menos de 10 empleados) continúan siendo las que más cautas, también en los últimos meses de 2024</w:t>
      </w:r>
      <w:r w:rsidR="00195CAB" w:rsidRPr="00FA56FE">
        <w:rPr>
          <w:rFonts w:ascii="Arial" w:eastAsiaTheme="minorEastAsia" w:hAnsi="Arial" w:cs="Arial"/>
          <w:sz w:val="22"/>
          <w:szCs w:val="22"/>
          <w:lang w:eastAsia="zh-CN"/>
        </w:rPr>
        <w:t>, posicionándose con unas previsiones netas del 4%</w:t>
      </w:r>
      <w:r w:rsidR="00195CAB">
        <w:rPr>
          <w:rFonts w:ascii="Arial" w:eastAsiaTheme="minorEastAsia" w:hAnsi="Arial" w:cs="Arial"/>
          <w:sz w:val="22"/>
          <w:szCs w:val="22"/>
          <w:lang w:eastAsia="zh-CN"/>
        </w:rPr>
        <w:t>.</w:t>
      </w:r>
    </w:p>
    <w:p w14:paraId="6B86B2DE" w14:textId="77777777" w:rsidR="00FA56FE" w:rsidRDefault="00FA56FE" w:rsidP="00195CAB">
      <w:pPr>
        <w:spacing w:before="120" w:line="288" w:lineRule="auto"/>
        <w:jc w:val="both"/>
        <w:rPr>
          <w:rFonts w:ascii="Arial" w:eastAsiaTheme="minorEastAsia" w:hAnsi="Arial" w:cs="Arial"/>
          <w:b/>
          <w:bCs/>
          <w:sz w:val="22"/>
          <w:szCs w:val="22"/>
          <w:lang w:eastAsia="zh-CN"/>
        </w:rPr>
      </w:pPr>
    </w:p>
    <w:bookmarkEnd w:id="3"/>
    <w:p w14:paraId="22148E63" w14:textId="77777777" w:rsidR="00854BFA" w:rsidRDefault="00854BFA" w:rsidP="00195CAB">
      <w:pPr>
        <w:spacing w:before="120" w:line="288" w:lineRule="auto"/>
        <w:ind w:right="-1"/>
        <w:jc w:val="both"/>
        <w:rPr>
          <w:rFonts w:ascii="Arial" w:eastAsiaTheme="minorEastAsia" w:hAnsi="Arial" w:cs="Arial"/>
          <w:b/>
          <w:bCs/>
          <w:sz w:val="22"/>
          <w:szCs w:val="22"/>
          <w:lang w:eastAsia="zh-CN"/>
        </w:rPr>
      </w:pPr>
      <w:r>
        <w:rPr>
          <w:rFonts w:ascii="Arial" w:eastAsiaTheme="minorEastAsia" w:hAnsi="Arial" w:cs="Arial"/>
          <w:b/>
          <w:bCs/>
          <w:sz w:val="22"/>
          <w:szCs w:val="22"/>
          <w:lang w:eastAsia="zh-CN"/>
        </w:rPr>
        <w:t>E</w:t>
      </w:r>
      <w:r w:rsidRPr="00854BFA">
        <w:rPr>
          <w:rFonts w:ascii="Arial" w:eastAsiaTheme="minorEastAsia" w:hAnsi="Arial" w:cs="Arial"/>
          <w:b/>
          <w:bCs/>
          <w:sz w:val="22"/>
          <w:szCs w:val="22"/>
          <w:lang w:eastAsia="zh-CN"/>
        </w:rPr>
        <w:t>spaña mejora en un contexto global positivo</w:t>
      </w:r>
    </w:p>
    <w:p w14:paraId="6E1396C8" w14:textId="69EB1318" w:rsidR="00E10F98" w:rsidRPr="00A05766" w:rsidRDefault="00854BFA" w:rsidP="00195CAB">
      <w:pPr>
        <w:spacing w:before="120" w:line="288" w:lineRule="auto"/>
        <w:ind w:right="-1"/>
        <w:jc w:val="both"/>
        <w:rPr>
          <w:rFonts w:ascii="Arial" w:eastAsiaTheme="minorEastAsia" w:hAnsi="Arial" w:cs="Arial"/>
          <w:sz w:val="22"/>
          <w:szCs w:val="22"/>
          <w:lang w:eastAsia="zh-CN"/>
        </w:rPr>
      </w:pPr>
      <w:r w:rsidRPr="00854BFA">
        <w:rPr>
          <w:rFonts w:ascii="Arial" w:eastAsiaTheme="minorEastAsia" w:hAnsi="Arial" w:cs="Arial"/>
          <w:sz w:val="22"/>
          <w:szCs w:val="22"/>
          <w:lang w:eastAsia="zh-CN"/>
        </w:rPr>
        <w:t xml:space="preserve">A nivel global, </w:t>
      </w:r>
      <w:r w:rsidRPr="00E10F98">
        <w:rPr>
          <w:rFonts w:ascii="Arial" w:eastAsiaTheme="minorEastAsia" w:hAnsi="Arial" w:cs="Arial"/>
          <w:b/>
          <w:bCs/>
          <w:sz w:val="22"/>
          <w:szCs w:val="22"/>
          <w:lang w:eastAsia="zh-CN"/>
        </w:rPr>
        <w:t>las empresas muestran un optimismo generalizado</w:t>
      </w:r>
      <w:r w:rsidRPr="00854BFA">
        <w:rPr>
          <w:rFonts w:ascii="Arial" w:eastAsiaTheme="minorEastAsia" w:hAnsi="Arial" w:cs="Arial"/>
          <w:sz w:val="22"/>
          <w:szCs w:val="22"/>
          <w:lang w:eastAsia="zh-CN"/>
        </w:rPr>
        <w:t xml:space="preserve"> para el último trimestre de 2024</w:t>
      </w:r>
      <w:r w:rsidR="00697039">
        <w:rPr>
          <w:rFonts w:ascii="Arial" w:eastAsiaTheme="minorEastAsia" w:hAnsi="Arial" w:cs="Arial"/>
          <w:sz w:val="22"/>
          <w:szCs w:val="22"/>
          <w:lang w:eastAsia="zh-CN"/>
        </w:rPr>
        <w:t xml:space="preserve">, con una </w:t>
      </w:r>
      <w:r w:rsidRPr="00854BFA">
        <w:rPr>
          <w:rFonts w:ascii="Arial" w:eastAsiaTheme="minorEastAsia" w:hAnsi="Arial" w:cs="Arial"/>
          <w:sz w:val="22"/>
          <w:szCs w:val="22"/>
          <w:lang w:eastAsia="zh-CN"/>
        </w:rPr>
        <w:t xml:space="preserve">previsión neta de contratación </w:t>
      </w:r>
      <w:r w:rsidR="00697039">
        <w:rPr>
          <w:rFonts w:ascii="Arial" w:eastAsiaTheme="minorEastAsia" w:hAnsi="Arial" w:cs="Arial"/>
          <w:sz w:val="22"/>
          <w:szCs w:val="22"/>
          <w:lang w:eastAsia="zh-CN"/>
        </w:rPr>
        <w:t>del</w:t>
      </w:r>
      <w:r w:rsidRPr="00854BFA">
        <w:rPr>
          <w:rFonts w:ascii="Arial" w:eastAsiaTheme="minorEastAsia" w:hAnsi="Arial" w:cs="Arial"/>
          <w:sz w:val="22"/>
          <w:szCs w:val="22"/>
          <w:lang w:eastAsia="zh-CN"/>
        </w:rPr>
        <w:t xml:space="preserve"> 25%, lo que representa una mejora de 3 puntos respecto al trimestre anterior.</w:t>
      </w:r>
      <w:r w:rsidR="00195CAB">
        <w:rPr>
          <w:rFonts w:ascii="Arial" w:eastAsiaTheme="minorEastAsia" w:hAnsi="Arial" w:cs="Arial"/>
          <w:sz w:val="22"/>
          <w:szCs w:val="22"/>
          <w:lang w:eastAsia="zh-CN"/>
        </w:rPr>
        <w:t xml:space="preserve"> La región de </w:t>
      </w:r>
      <w:r w:rsidR="00195CAB" w:rsidRPr="00195CAB">
        <w:rPr>
          <w:rFonts w:ascii="Arial" w:eastAsiaTheme="minorEastAsia" w:hAnsi="Arial" w:cs="Arial"/>
          <w:b/>
          <w:bCs/>
          <w:sz w:val="22"/>
          <w:szCs w:val="22"/>
          <w:lang w:eastAsia="zh-CN"/>
        </w:rPr>
        <w:t xml:space="preserve">Europa, Oriente Medio y África </w:t>
      </w:r>
      <w:r w:rsidR="00195CAB">
        <w:rPr>
          <w:rFonts w:ascii="Arial" w:eastAsiaTheme="minorEastAsia" w:hAnsi="Arial" w:cs="Arial"/>
          <w:b/>
          <w:bCs/>
          <w:sz w:val="22"/>
          <w:szCs w:val="22"/>
          <w:lang w:eastAsia="zh-CN"/>
        </w:rPr>
        <w:t xml:space="preserve">tiene </w:t>
      </w:r>
      <w:r w:rsidR="00195CAB" w:rsidRPr="00195CAB">
        <w:rPr>
          <w:rFonts w:ascii="Arial" w:eastAsiaTheme="minorEastAsia" w:hAnsi="Arial" w:cs="Arial"/>
          <w:b/>
          <w:bCs/>
          <w:sz w:val="22"/>
          <w:szCs w:val="22"/>
          <w:lang w:eastAsia="zh-CN"/>
        </w:rPr>
        <w:t>las expectativas de contratación más prudentes (21%)</w:t>
      </w:r>
      <w:r w:rsidR="00195CAB">
        <w:rPr>
          <w:rFonts w:ascii="Arial" w:eastAsiaTheme="minorEastAsia" w:hAnsi="Arial" w:cs="Arial"/>
          <w:b/>
          <w:bCs/>
          <w:sz w:val="22"/>
          <w:szCs w:val="22"/>
          <w:lang w:eastAsia="zh-CN"/>
        </w:rPr>
        <w:t xml:space="preserve"> y prácticamente en línea con el dato español.</w:t>
      </w:r>
      <w:r w:rsidR="00A05766">
        <w:rPr>
          <w:rFonts w:ascii="Arial" w:eastAsiaTheme="minorEastAsia" w:hAnsi="Arial" w:cs="Arial"/>
          <w:sz w:val="22"/>
          <w:szCs w:val="22"/>
          <w:lang w:eastAsia="zh-CN"/>
        </w:rPr>
        <w:t xml:space="preserve"> De hecho, los mercados más próximos, como son los de Francia y Alemania (ambos con un 22%) o los de Portugal e Italia (19% en los dos casos) se mueven en cifras similares a la nacional.</w:t>
      </w:r>
    </w:p>
    <w:p w14:paraId="5C2B6270" w14:textId="70C0F2B7" w:rsidR="00854BFA" w:rsidRPr="00A05766" w:rsidRDefault="00E10F98" w:rsidP="00195CAB">
      <w:pPr>
        <w:spacing w:before="120" w:line="288" w:lineRule="auto"/>
        <w:ind w:right="-1"/>
        <w:jc w:val="both"/>
        <w:rPr>
          <w:rFonts w:ascii="Arial" w:eastAsiaTheme="minorEastAsia" w:hAnsi="Arial" w:cs="Arial"/>
          <w:sz w:val="22"/>
          <w:szCs w:val="22"/>
          <w:lang w:eastAsia="zh-CN"/>
        </w:rPr>
      </w:pPr>
      <w:r w:rsidRPr="00A05766">
        <w:rPr>
          <w:rFonts w:ascii="Arial" w:eastAsiaTheme="minorEastAsia" w:hAnsi="Arial" w:cs="Arial"/>
          <w:sz w:val="22"/>
          <w:szCs w:val="22"/>
          <w:lang w:eastAsia="zh-CN"/>
        </w:rPr>
        <w:t>India lidera el optimismo con una previsión neta del 37%, mientras que Argentina se sitúa en el extremo opuesto con solo un 4% de expectativa neta.</w:t>
      </w:r>
    </w:p>
    <w:p w14:paraId="79146FD4" w14:textId="77777777" w:rsidR="00195CAB" w:rsidRDefault="00195CAB" w:rsidP="00195CAB">
      <w:pPr>
        <w:spacing w:before="120" w:line="288" w:lineRule="auto"/>
        <w:jc w:val="both"/>
        <w:rPr>
          <w:rFonts w:ascii="Arial" w:hAnsi="Arial" w:cs="Arial"/>
          <w:b/>
          <w:bCs/>
          <w:sz w:val="20"/>
          <w:szCs w:val="20"/>
        </w:rPr>
      </w:pPr>
      <w:bookmarkStart w:id="13" w:name="_Hlk176278298"/>
      <w:bookmarkStart w:id="14" w:name="_Hlk161068777"/>
    </w:p>
    <w:p w14:paraId="21292F0C" w14:textId="77777777" w:rsidR="00195CAB" w:rsidRDefault="00195CAB" w:rsidP="00195CAB">
      <w:pPr>
        <w:spacing w:before="120" w:line="288" w:lineRule="auto"/>
        <w:jc w:val="both"/>
        <w:rPr>
          <w:rFonts w:ascii="Arial" w:hAnsi="Arial" w:cs="Arial"/>
          <w:b/>
          <w:bCs/>
          <w:sz w:val="20"/>
          <w:szCs w:val="20"/>
        </w:rPr>
      </w:pPr>
    </w:p>
    <w:p w14:paraId="151749A0" w14:textId="5C6A6794" w:rsidR="00C76422" w:rsidRPr="00DC55EB" w:rsidRDefault="00204E64" w:rsidP="00195CAB">
      <w:pPr>
        <w:spacing w:before="120" w:line="288" w:lineRule="auto"/>
        <w:jc w:val="both"/>
        <w:rPr>
          <w:rFonts w:ascii="Arial" w:hAnsi="Arial" w:cs="Arial"/>
          <w:sz w:val="20"/>
          <w:szCs w:val="20"/>
        </w:rPr>
      </w:pPr>
      <w:r w:rsidRPr="00DC55EB">
        <w:rPr>
          <w:rFonts w:ascii="Arial" w:hAnsi="Arial" w:cs="Arial"/>
          <w:b/>
          <w:bCs/>
          <w:sz w:val="20"/>
          <w:szCs w:val="20"/>
        </w:rPr>
        <w:t>Sobre el Estudio de Proyección de Empleo de ManpowerGroup</w:t>
      </w:r>
      <w:r w:rsidR="008C7DC2" w:rsidRPr="00DC55EB">
        <w:rPr>
          <w:rFonts w:ascii="Arial" w:hAnsi="Arial" w:cs="Arial"/>
          <w:b/>
          <w:bCs/>
          <w:sz w:val="20"/>
          <w:szCs w:val="20"/>
        </w:rPr>
        <w:t>:</w:t>
      </w:r>
      <w:r w:rsidR="00C76422" w:rsidRPr="00DC55EB">
        <w:rPr>
          <w:rFonts w:ascii="Arial" w:hAnsi="Arial" w:cs="Arial"/>
          <w:b/>
          <w:bCs/>
          <w:sz w:val="20"/>
          <w:szCs w:val="20"/>
        </w:rPr>
        <w:t xml:space="preserve"> </w:t>
      </w:r>
      <w:bookmarkStart w:id="15" w:name="_Hlk90222956"/>
      <w:bookmarkStart w:id="16" w:name="_Hlk90207554"/>
      <w:bookmarkEnd w:id="4"/>
      <w:bookmarkEnd w:id="5"/>
      <w:bookmarkEnd w:id="6"/>
      <w:r w:rsidR="00DC55EB">
        <w:rPr>
          <w:rFonts w:ascii="Arial" w:hAnsi="Arial" w:cs="Arial"/>
          <w:sz w:val="20"/>
          <w:szCs w:val="20"/>
        </w:rPr>
        <w:t>e</w:t>
      </w:r>
      <w:r w:rsidR="00910200" w:rsidRPr="00DC55EB">
        <w:rPr>
          <w:rFonts w:ascii="Arial" w:hAnsi="Arial" w:cs="Arial"/>
          <w:sz w:val="20"/>
          <w:szCs w:val="20"/>
        </w:rPr>
        <w:t xml:space="preserve">ste estudio se basa en entrevistas realizadas a </w:t>
      </w:r>
      <w:r w:rsidR="00B25727" w:rsidRPr="00B25727">
        <w:rPr>
          <w:rFonts w:ascii="Arial" w:hAnsi="Arial" w:cs="Arial"/>
          <w:b/>
          <w:bCs/>
          <w:sz w:val="20"/>
          <w:szCs w:val="20"/>
        </w:rPr>
        <w:t>40.</w:t>
      </w:r>
      <w:r w:rsidR="00D14253">
        <w:rPr>
          <w:rFonts w:ascii="Arial" w:hAnsi="Arial" w:cs="Arial"/>
          <w:b/>
          <w:bCs/>
          <w:sz w:val="20"/>
          <w:szCs w:val="20"/>
        </w:rPr>
        <w:t>3</w:t>
      </w:r>
      <w:r w:rsidR="00E10F98">
        <w:rPr>
          <w:rFonts w:ascii="Arial" w:hAnsi="Arial" w:cs="Arial"/>
          <w:b/>
          <w:bCs/>
          <w:sz w:val="20"/>
          <w:szCs w:val="20"/>
        </w:rPr>
        <w:t>40</w:t>
      </w:r>
      <w:r w:rsidR="00B25727" w:rsidRPr="00B25727">
        <w:rPr>
          <w:rFonts w:ascii="Arial" w:hAnsi="Arial" w:cs="Arial"/>
          <w:b/>
          <w:bCs/>
          <w:sz w:val="20"/>
          <w:szCs w:val="20"/>
        </w:rPr>
        <w:t xml:space="preserve"> </w:t>
      </w:r>
      <w:r w:rsidR="00910200" w:rsidRPr="00DC55EB">
        <w:rPr>
          <w:rFonts w:ascii="Arial" w:hAnsi="Arial" w:cs="Arial"/>
          <w:b/>
          <w:bCs/>
          <w:sz w:val="20"/>
          <w:szCs w:val="20"/>
        </w:rPr>
        <w:t>empresas de todo el mundo -1.0</w:t>
      </w:r>
      <w:r w:rsidR="0060110C">
        <w:rPr>
          <w:rFonts w:ascii="Arial" w:hAnsi="Arial" w:cs="Arial"/>
          <w:b/>
          <w:bCs/>
          <w:sz w:val="20"/>
          <w:szCs w:val="20"/>
        </w:rPr>
        <w:t>5</w:t>
      </w:r>
      <w:r w:rsidR="00D14253">
        <w:rPr>
          <w:rFonts w:ascii="Arial" w:hAnsi="Arial" w:cs="Arial"/>
          <w:b/>
          <w:bCs/>
          <w:sz w:val="20"/>
          <w:szCs w:val="20"/>
        </w:rPr>
        <w:t>0</w:t>
      </w:r>
      <w:r w:rsidR="00910200" w:rsidRPr="00DC55EB">
        <w:rPr>
          <w:rFonts w:ascii="Arial" w:hAnsi="Arial" w:cs="Arial"/>
          <w:b/>
          <w:bCs/>
          <w:sz w:val="20"/>
          <w:szCs w:val="20"/>
        </w:rPr>
        <w:t xml:space="preserve"> de ellas en España-</w:t>
      </w:r>
      <w:r w:rsidR="00910200" w:rsidRPr="00DC55EB">
        <w:rPr>
          <w:rFonts w:ascii="Arial" w:hAnsi="Arial" w:cs="Arial"/>
          <w:sz w:val="20"/>
          <w:szCs w:val="20"/>
        </w:rPr>
        <w:t>, tanto del sector público como del privado, de 4</w:t>
      </w:r>
      <w:r w:rsidR="00B25727">
        <w:rPr>
          <w:rFonts w:ascii="Arial" w:hAnsi="Arial" w:cs="Arial"/>
          <w:sz w:val="20"/>
          <w:szCs w:val="20"/>
        </w:rPr>
        <w:t>2</w:t>
      </w:r>
      <w:r w:rsidR="00910200" w:rsidRPr="00DC55EB">
        <w:rPr>
          <w:rFonts w:ascii="Arial" w:hAnsi="Arial" w:cs="Arial"/>
          <w:sz w:val="20"/>
          <w:szCs w:val="20"/>
        </w:rPr>
        <w:t xml:space="preserve"> países y territorios, y su objetivo es medir las tendencias de empleo previstas para cada trimestre. Esta muestra permite realizar un análisis por sectores y regiones</w:t>
      </w:r>
      <w:r w:rsidR="00493CFD" w:rsidRPr="00DC55EB">
        <w:rPr>
          <w:rFonts w:ascii="Arial" w:hAnsi="Arial" w:cs="Arial"/>
          <w:sz w:val="20"/>
          <w:szCs w:val="20"/>
        </w:rPr>
        <w:t xml:space="preserve"> -ya que están estandarizados en todos los mercados- </w:t>
      </w:r>
      <w:r w:rsidR="00910200" w:rsidRPr="00DC55EB">
        <w:rPr>
          <w:rFonts w:ascii="Arial" w:hAnsi="Arial" w:cs="Arial"/>
          <w:sz w:val="20"/>
          <w:szCs w:val="20"/>
        </w:rPr>
        <w:t>y así ofrecer una información más detallada.</w:t>
      </w:r>
    </w:p>
    <w:p w14:paraId="52419D44" w14:textId="37A87544" w:rsidR="00143F63" w:rsidRPr="00143F63" w:rsidRDefault="00493CFD" w:rsidP="00195CAB">
      <w:pPr>
        <w:spacing w:before="120" w:line="288" w:lineRule="auto"/>
        <w:jc w:val="both"/>
        <w:rPr>
          <w:rFonts w:ascii="Arial" w:hAnsi="Arial" w:cs="Arial"/>
          <w:sz w:val="20"/>
          <w:szCs w:val="20"/>
        </w:rPr>
      </w:pPr>
      <w:r w:rsidRPr="00DC55EB">
        <w:rPr>
          <w:rFonts w:ascii="Arial" w:hAnsi="Arial" w:cs="Arial"/>
          <w:sz w:val="20"/>
          <w:szCs w:val="20"/>
        </w:rPr>
        <w:t>E</w:t>
      </w:r>
      <w:r w:rsidR="00910200" w:rsidRPr="00DC55EB">
        <w:rPr>
          <w:rFonts w:ascii="Arial" w:hAnsi="Arial" w:cs="Arial"/>
          <w:sz w:val="20"/>
          <w:szCs w:val="20"/>
        </w:rPr>
        <w:t>l estudio obt</w:t>
      </w:r>
      <w:r w:rsidRPr="00DC55EB">
        <w:rPr>
          <w:rFonts w:ascii="Arial" w:hAnsi="Arial" w:cs="Arial"/>
          <w:sz w:val="20"/>
          <w:szCs w:val="20"/>
        </w:rPr>
        <w:t>iene</w:t>
      </w:r>
      <w:r w:rsidR="00910200" w:rsidRPr="00DC55EB">
        <w:rPr>
          <w:rFonts w:ascii="Arial" w:hAnsi="Arial" w:cs="Arial"/>
          <w:sz w:val="20"/>
          <w:szCs w:val="20"/>
        </w:rPr>
        <w:t xml:space="preserve"> su información a partir de una única pregunta: </w:t>
      </w:r>
      <w:r w:rsidR="00D14253" w:rsidRPr="00D14253">
        <w:rPr>
          <w:rFonts w:ascii="Arial" w:hAnsi="Arial" w:cs="Arial"/>
          <w:b/>
          <w:bCs/>
          <w:sz w:val="20"/>
          <w:szCs w:val="20"/>
        </w:rPr>
        <w:t>“¿Cómo prevé usted que</w:t>
      </w:r>
      <w:r w:rsidR="00D14253">
        <w:rPr>
          <w:rFonts w:ascii="Arial" w:hAnsi="Arial" w:cs="Arial"/>
          <w:b/>
          <w:bCs/>
          <w:sz w:val="20"/>
          <w:szCs w:val="20"/>
        </w:rPr>
        <w:t xml:space="preserve"> </w:t>
      </w:r>
      <w:r w:rsidR="00D14253" w:rsidRPr="00D14253">
        <w:rPr>
          <w:rFonts w:ascii="Arial" w:hAnsi="Arial" w:cs="Arial"/>
          <w:b/>
          <w:bCs/>
          <w:sz w:val="20"/>
          <w:szCs w:val="20"/>
        </w:rPr>
        <w:t xml:space="preserve">cambiará el empleo total en su empresa en el próximo trimestre, desde </w:t>
      </w:r>
      <w:r w:rsidR="000F11D7">
        <w:rPr>
          <w:rFonts w:ascii="Arial" w:hAnsi="Arial" w:cs="Arial"/>
          <w:b/>
          <w:bCs/>
          <w:sz w:val="20"/>
          <w:szCs w:val="20"/>
        </w:rPr>
        <w:t>octubre</w:t>
      </w:r>
      <w:r w:rsidR="00D14253" w:rsidRPr="00D14253">
        <w:rPr>
          <w:rFonts w:ascii="Arial" w:hAnsi="Arial" w:cs="Arial"/>
          <w:b/>
          <w:bCs/>
          <w:sz w:val="20"/>
          <w:szCs w:val="20"/>
        </w:rPr>
        <w:t xml:space="preserve"> hasta </w:t>
      </w:r>
      <w:r w:rsidR="000F11D7">
        <w:rPr>
          <w:rFonts w:ascii="Arial" w:hAnsi="Arial" w:cs="Arial"/>
          <w:b/>
          <w:bCs/>
          <w:sz w:val="20"/>
          <w:szCs w:val="20"/>
        </w:rPr>
        <w:t>diciembre</w:t>
      </w:r>
      <w:r w:rsidR="00D14253" w:rsidRPr="00D14253">
        <w:rPr>
          <w:rFonts w:ascii="Arial" w:hAnsi="Arial" w:cs="Arial"/>
          <w:b/>
          <w:bCs/>
          <w:sz w:val="20"/>
          <w:szCs w:val="20"/>
        </w:rPr>
        <w:t xml:space="preserve"> de 2024, en comparación con el trimestre</w:t>
      </w:r>
      <w:r w:rsidR="00D14253">
        <w:rPr>
          <w:rFonts w:ascii="Arial" w:hAnsi="Arial" w:cs="Arial"/>
          <w:b/>
          <w:bCs/>
          <w:sz w:val="20"/>
          <w:szCs w:val="20"/>
        </w:rPr>
        <w:t xml:space="preserve"> </w:t>
      </w:r>
      <w:r w:rsidR="00D14253" w:rsidRPr="00D14253">
        <w:rPr>
          <w:rFonts w:ascii="Arial" w:hAnsi="Arial" w:cs="Arial"/>
          <w:b/>
          <w:bCs/>
          <w:sz w:val="20"/>
          <w:szCs w:val="20"/>
        </w:rPr>
        <w:t>actual?”</w:t>
      </w:r>
      <w:r w:rsidR="00910200" w:rsidRPr="00DC55EB">
        <w:rPr>
          <w:rFonts w:ascii="Arial" w:hAnsi="Arial" w:cs="Arial"/>
          <w:sz w:val="20"/>
          <w:szCs w:val="20"/>
        </w:rPr>
        <w:t>.</w:t>
      </w:r>
      <w:r w:rsidRPr="00DC55EB">
        <w:rPr>
          <w:rFonts w:ascii="Arial" w:hAnsi="Arial" w:cs="Arial"/>
          <w:sz w:val="20"/>
          <w:szCs w:val="20"/>
        </w:rPr>
        <w:t xml:space="preserve"> </w:t>
      </w:r>
      <w:r w:rsidR="00A73C99" w:rsidRPr="00DC55EB">
        <w:rPr>
          <w:rFonts w:ascii="Arial" w:hAnsi="Arial" w:cs="Arial"/>
          <w:sz w:val="20"/>
          <w:szCs w:val="20"/>
        </w:rPr>
        <w:t xml:space="preserve">Como resultado de comparar las compañías que tienen previsto ampliar sus equipos y las que anticipan una reducción </w:t>
      </w:r>
      <w:r w:rsidR="00A73C99" w:rsidRPr="00DC55EB">
        <w:rPr>
          <w:rFonts w:ascii="Arial" w:hAnsi="Arial" w:cs="Arial"/>
          <w:b/>
          <w:bCs/>
          <w:sz w:val="20"/>
          <w:szCs w:val="20"/>
        </w:rPr>
        <w:t>se obtiene un índice cuyo resultado puede ir desde -100% a 100%</w:t>
      </w:r>
      <w:r w:rsidR="00A73C99" w:rsidRPr="00DC55EB">
        <w:rPr>
          <w:rFonts w:ascii="Arial" w:hAnsi="Arial" w:cs="Arial"/>
          <w:sz w:val="20"/>
          <w:szCs w:val="20"/>
        </w:rPr>
        <w:t>.</w:t>
      </w:r>
    </w:p>
    <w:p w14:paraId="6E6E2DD4" w14:textId="6A537F17" w:rsidR="00910200" w:rsidRPr="00DC55EB" w:rsidRDefault="00A73C99" w:rsidP="00195CAB">
      <w:pPr>
        <w:spacing w:before="120" w:line="288" w:lineRule="auto"/>
        <w:jc w:val="both"/>
        <w:rPr>
          <w:rFonts w:ascii="Arial" w:hAnsi="Arial" w:cs="Arial"/>
          <w:sz w:val="20"/>
          <w:szCs w:val="20"/>
        </w:rPr>
      </w:pPr>
      <w:r w:rsidRPr="00DC55EB">
        <w:rPr>
          <w:rFonts w:ascii="Arial" w:hAnsi="Arial" w:cs="Arial"/>
          <w:sz w:val="20"/>
          <w:szCs w:val="20"/>
        </w:rPr>
        <w:t xml:space="preserve">El estudio se lleva a cabo desde hace más de 60 años con la misma pregunta y perfil de encuestados. </w:t>
      </w:r>
      <w:r w:rsidR="00493CFD" w:rsidRPr="00DC55EB">
        <w:rPr>
          <w:rFonts w:ascii="Arial" w:hAnsi="Arial" w:cs="Arial"/>
          <w:sz w:val="20"/>
          <w:szCs w:val="20"/>
        </w:rPr>
        <w:t xml:space="preserve">Desde el primer trimestre </w:t>
      </w:r>
      <w:r w:rsidR="00910200" w:rsidRPr="00DC55EB">
        <w:rPr>
          <w:rFonts w:ascii="Arial" w:hAnsi="Arial" w:cs="Arial"/>
          <w:sz w:val="20"/>
          <w:szCs w:val="20"/>
        </w:rPr>
        <w:t>de 2022, las respuestas se recopilan a través de un sistema online de doble confirmación en el que se incentiva a los participantes a completar la encuesta.</w:t>
      </w:r>
    </w:p>
    <w:bookmarkEnd w:id="13"/>
    <w:p w14:paraId="38E90E99" w14:textId="33946651" w:rsidR="00C76422" w:rsidRDefault="00C76422" w:rsidP="001740C7">
      <w:pPr>
        <w:jc w:val="both"/>
        <w:rPr>
          <w:rFonts w:ascii="Arial" w:hAnsi="Arial" w:cs="Arial"/>
          <w:b/>
          <w:bCs/>
          <w:sz w:val="16"/>
          <w:szCs w:val="16"/>
        </w:rPr>
      </w:pPr>
    </w:p>
    <w:p w14:paraId="5F25FB14" w14:textId="4F1E1D4F" w:rsidR="00750181" w:rsidRDefault="00750181" w:rsidP="00DC55EB">
      <w:pPr>
        <w:jc w:val="both"/>
        <w:rPr>
          <w:rFonts w:ascii="Arial" w:hAnsi="Arial" w:cs="Arial"/>
          <w:b/>
          <w:bCs/>
          <w:sz w:val="16"/>
          <w:szCs w:val="16"/>
        </w:rPr>
      </w:pPr>
    </w:p>
    <w:p w14:paraId="515740E1" w14:textId="77777777" w:rsidR="00750181" w:rsidRDefault="00750181" w:rsidP="00DC55EB">
      <w:pPr>
        <w:jc w:val="both"/>
        <w:rPr>
          <w:rFonts w:ascii="Arial" w:hAnsi="Arial" w:cs="Arial"/>
          <w:b/>
          <w:bCs/>
          <w:sz w:val="16"/>
          <w:szCs w:val="16"/>
        </w:rPr>
      </w:pPr>
    </w:p>
    <w:p w14:paraId="57C9640A" w14:textId="6476B420" w:rsidR="001740C7" w:rsidRPr="00C76422" w:rsidRDefault="001740C7" w:rsidP="00DC55EB">
      <w:pPr>
        <w:jc w:val="both"/>
        <w:rPr>
          <w:rFonts w:ascii="Arial" w:hAnsi="Arial" w:cs="Arial"/>
          <w:sz w:val="16"/>
          <w:szCs w:val="16"/>
        </w:rPr>
      </w:pPr>
      <w:r w:rsidRPr="00C76422">
        <w:rPr>
          <w:rFonts w:ascii="Arial" w:hAnsi="Arial" w:cs="Arial"/>
          <w:b/>
          <w:bCs/>
          <w:sz w:val="16"/>
          <w:szCs w:val="16"/>
        </w:rPr>
        <w:lastRenderedPageBreak/>
        <w:t>ManpowerGroup</w:t>
      </w:r>
      <w:r w:rsidRPr="00C76422">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640FB4AA" w14:textId="5955DC9B" w:rsidR="001740C7" w:rsidRPr="00C76422" w:rsidRDefault="001740C7" w:rsidP="00DC55EB">
      <w:pPr>
        <w:jc w:val="both"/>
        <w:rPr>
          <w:rFonts w:ascii="Arial" w:hAnsi="Arial" w:cs="Arial"/>
          <w:sz w:val="16"/>
          <w:szCs w:val="16"/>
        </w:rPr>
      </w:pPr>
      <w:r w:rsidRPr="00C76422">
        <w:rPr>
          <w:rFonts w:ascii="Arial" w:hAnsi="Arial" w:cs="Arial"/>
          <w:sz w:val="16"/>
          <w:szCs w:val="16"/>
        </w:rPr>
        <w:t xml:space="preserve">Más información en </w:t>
      </w:r>
      <w:hyperlink r:id="rId10" w:history="1">
        <w:r w:rsidR="007C1C1A" w:rsidRPr="003F56FE">
          <w:rPr>
            <w:rStyle w:val="Hipervnculo"/>
            <w:rFonts w:ascii="Arial" w:hAnsi="Arial" w:cs="Arial"/>
            <w:sz w:val="16"/>
            <w:szCs w:val="16"/>
          </w:rPr>
          <w:t>www.manpowergroup.es</w:t>
        </w:r>
      </w:hyperlink>
      <w:r w:rsidRPr="00C76422">
        <w:rPr>
          <w:rFonts w:ascii="Arial" w:hAnsi="Arial" w:cs="Arial"/>
          <w:sz w:val="16"/>
          <w:szCs w:val="16"/>
        </w:rPr>
        <w:t>.</w:t>
      </w:r>
    </w:p>
    <w:p w14:paraId="4A498259" w14:textId="1B60E822" w:rsidR="00493CFD" w:rsidRDefault="00493CFD" w:rsidP="00DC55EB">
      <w:pPr>
        <w:tabs>
          <w:tab w:val="right" w:pos="8838"/>
        </w:tabs>
        <w:autoSpaceDE w:val="0"/>
        <w:autoSpaceDN w:val="0"/>
        <w:adjustRightInd w:val="0"/>
        <w:jc w:val="both"/>
        <w:rPr>
          <w:rFonts w:ascii="Arial" w:hAnsi="Arial" w:cs="Arial"/>
          <w:sz w:val="16"/>
          <w:szCs w:val="16"/>
        </w:rPr>
      </w:pPr>
    </w:p>
    <w:p w14:paraId="6FB62582" w14:textId="39C9DF2B" w:rsidR="00750181" w:rsidRDefault="00750181" w:rsidP="00DC55EB">
      <w:pPr>
        <w:tabs>
          <w:tab w:val="right" w:pos="8838"/>
        </w:tabs>
        <w:autoSpaceDE w:val="0"/>
        <w:autoSpaceDN w:val="0"/>
        <w:adjustRightInd w:val="0"/>
        <w:jc w:val="both"/>
        <w:rPr>
          <w:rFonts w:ascii="Arial" w:hAnsi="Arial" w:cs="Arial"/>
          <w:sz w:val="16"/>
          <w:szCs w:val="16"/>
        </w:rPr>
      </w:pPr>
    </w:p>
    <w:p w14:paraId="108340AD" w14:textId="77777777" w:rsidR="00750181" w:rsidRDefault="00750181" w:rsidP="00DC55EB">
      <w:pPr>
        <w:tabs>
          <w:tab w:val="right" w:pos="8838"/>
        </w:tabs>
        <w:autoSpaceDE w:val="0"/>
        <w:autoSpaceDN w:val="0"/>
        <w:adjustRightInd w:val="0"/>
        <w:jc w:val="both"/>
        <w:rPr>
          <w:rFonts w:ascii="Arial" w:hAnsi="Arial" w:cs="Arial"/>
          <w:sz w:val="16"/>
          <w:szCs w:val="16"/>
        </w:rPr>
      </w:pPr>
    </w:p>
    <w:bookmarkEnd w:id="14"/>
    <w:bookmarkEnd w:id="15"/>
    <w:bookmarkEnd w:id="16"/>
    <w:p w14:paraId="26B230C1" w14:textId="77777777" w:rsidR="00761D60" w:rsidRPr="00761D60" w:rsidRDefault="00761D60" w:rsidP="00761D60">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761D60" w:rsidRPr="00F51FFC" w14:paraId="6DE41C35" w14:textId="77777777" w:rsidTr="00721B40">
        <w:trPr>
          <w:trHeight w:val="1159"/>
        </w:trPr>
        <w:tc>
          <w:tcPr>
            <w:tcW w:w="2943" w:type="dxa"/>
            <w:hideMark/>
          </w:tcPr>
          <w:p w14:paraId="1D05332F" w14:textId="77777777" w:rsidR="00761D60" w:rsidRPr="00761D60" w:rsidRDefault="00761D60" w:rsidP="00721B40">
            <w:pPr>
              <w:pStyle w:val="NormalWeb"/>
              <w:spacing w:before="0" w:beforeAutospacing="0" w:after="0" w:afterAutospacing="0"/>
              <w:jc w:val="both"/>
              <w:rPr>
                <w:rStyle w:val="Hipervnculo"/>
                <w:rFonts w:ascii="Arial" w:eastAsia="MS Mincho" w:hAnsi="Arial" w:cs="Arial"/>
                <w:sz w:val="16"/>
                <w:szCs w:val="16"/>
              </w:rPr>
            </w:pPr>
            <w:bookmarkStart w:id="17" w:name="_Hlk90207537"/>
            <w:r w:rsidRPr="00761D60">
              <w:rPr>
                <w:rFonts w:ascii="Arial" w:hAnsi="Arial" w:cs="Arial"/>
                <w:color w:val="000000"/>
                <w:sz w:val="16"/>
                <w:szCs w:val="16"/>
                <w:u w:val="single"/>
              </w:rPr>
              <w:t>Agencia de comunicación Indie PR</w:t>
            </w:r>
          </w:p>
          <w:p w14:paraId="6B894818" w14:textId="77777777" w:rsidR="00761D60" w:rsidRPr="00761D60" w:rsidRDefault="00761D60" w:rsidP="00721B40">
            <w:pPr>
              <w:pStyle w:val="NormalWeb"/>
              <w:spacing w:before="0" w:beforeAutospacing="0" w:after="0" w:afterAutospacing="0"/>
              <w:jc w:val="both"/>
              <w:rPr>
                <w:rFonts w:ascii="Arial" w:hAnsi="Arial" w:cs="Arial"/>
                <w:sz w:val="16"/>
                <w:szCs w:val="16"/>
              </w:rPr>
            </w:pPr>
            <w:r w:rsidRPr="00761D60">
              <w:rPr>
                <w:rFonts w:ascii="Arial" w:hAnsi="Arial" w:cs="Arial"/>
                <w:b/>
                <w:bCs/>
                <w:color w:val="000000"/>
                <w:sz w:val="16"/>
                <w:szCs w:val="16"/>
              </w:rPr>
              <w:t>Cristina Villanueva</w:t>
            </w:r>
          </w:p>
          <w:p w14:paraId="0C9FBF80" w14:textId="77777777" w:rsidR="00761D60" w:rsidRPr="00761D60" w:rsidRDefault="00761D60" w:rsidP="00721B40">
            <w:pPr>
              <w:pStyle w:val="NormalWeb"/>
              <w:spacing w:before="0" w:beforeAutospacing="0" w:after="0" w:afterAutospacing="0"/>
              <w:rPr>
                <w:rFonts w:ascii="Arial" w:hAnsi="Arial" w:cs="Arial"/>
                <w:color w:val="000000"/>
                <w:sz w:val="16"/>
                <w:szCs w:val="16"/>
                <w:lang w:val="it-IT"/>
              </w:rPr>
            </w:pPr>
            <w:r w:rsidRPr="00761D60">
              <w:rPr>
                <w:rFonts w:ascii="Arial" w:hAnsi="Arial" w:cs="Arial"/>
                <w:color w:val="000000"/>
                <w:sz w:val="16"/>
                <w:szCs w:val="16"/>
                <w:lang w:val="it-IT"/>
              </w:rPr>
              <w:t>Tel.: 687 14 73 60</w:t>
            </w:r>
          </w:p>
          <w:p w14:paraId="678251DC" w14:textId="77777777" w:rsidR="00761D60" w:rsidRPr="00761D60" w:rsidRDefault="00E45460" w:rsidP="00721B40">
            <w:pPr>
              <w:pStyle w:val="NormalWeb"/>
              <w:spacing w:before="0" w:beforeAutospacing="0" w:after="0" w:afterAutospacing="0"/>
              <w:rPr>
                <w:rStyle w:val="Hipervnculo"/>
                <w:rFonts w:ascii="Arial" w:eastAsia="MS Mincho" w:hAnsi="Arial" w:cs="Arial"/>
                <w:color w:val="1155CC"/>
                <w:sz w:val="16"/>
                <w:szCs w:val="16"/>
                <w:lang w:val="it-IT"/>
              </w:rPr>
            </w:pPr>
            <w:hyperlink r:id="rId11" w:history="1">
              <w:r w:rsidR="00761D60" w:rsidRPr="00761D60">
                <w:rPr>
                  <w:rStyle w:val="Hipervnculo"/>
                  <w:rFonts w:ascii="Arial" w:eastAsia="MS Mincho" w:hAnsi="Arial" w:cs="Arial"/>
                  <w:sz w:val="16"/>
                  <w:szCs w:val="16"/>
                  <w:lang w:val="it-IT"/>
                </w:rPr>
                <w:t>cristina@indiepr.es</w:t>
              </w:r>
            </w:hyperlink>
          </w:p>
          <w:p w14:paraId="0D8B6640" w14:textId="77777777" w:rsidR="00761D60" w:rsidRPr="00761D60" w:rsidRDefault="00761D60" w:rsidP="00721B40">
            <w:pPr>
              <w:pStyle w:val="NormalWeb"/>
              <w:spacing w:before="0" w:beforeAutospacing="0" w:after="0" w:afterAutospacing="0"/>
              <w:jc w:val="both"/>
              <w:rPr>
                <w:rStyle w:val="Hipervnculo"/>
                <w:rFonts w:ascii="Arial" w:eastAsia="MS Mincho" w:hAnsi="Arial" w:cs="Arial"/>
                <w:color w:val="1155CC"/>
                <w:sz w:val="16"/>
                <w:szCs w:val="16"/>
                <w:lang w:val="it-IT"/>
              </w:rPr>
            </w:pPr>
          </w:p>
          <w:p w14:paraId="37DE6C5C" w14:textId="77777777" w:rsidR="00761D60" w:rsidRPr="00761D60" w:rsidRDefault="00761D60" w:rsidP="00721B40">
            <w:pPr>
              <w:pStyle w:val="NormalWeb"/>
              <w:spacing w:before="0" w:beforeAutospacing="0" w:after="0" w:afterAutospacing="0"/>
              <w:jc w:val="both"/>
              <w:rPr>
                <w:rFonts w:ascii="Arial" w:hAnsi="Arial" w:cs="Arial"/>
                <w:sz w:val="16"/>
                <w:szCs w:val="16"/>
                <w:lang w:val="it-IT"/>
              </w:rPr>
            </w:pPr>
            <w:r w:rsidRPr="00761D60">
              <w:rPr>
                <w:rFonts w:ascii="Arial" w:hAnsi="Arial" w:cs="Arial"/>
                <w:b/>
                <w:bCs/>
                <w:color w:val="000000"/>
                <w:sz w:val="16"/>
                <w:szCs w:val="16"/>
                <w:lang w:val="it-IT"/>
              </w:rPr>
              <w:t>Carmen Polo</w:t>
            </w:r>
          </w:p>
          <w:p w14:paraId="6AEFC75B" w14:textId="77777777" w:rsidR="00761D60" w:rsidRPr="00761D60" w:rsidRDefault="00761D60" w:rsidP="00721B40">
            <w:pPr>
              <w:pStyle w:val="NormalWeb"/>
              <w:spacing w:before="0" w:beforeAutospacing="0" w:after="0" w:afterAutospacing="0"/>
              <w:jc w:val="both"/>
              <w:rPr>
                <w:rFonts w:ascii="Arial" w:hAnsi="Arial" w:cs="Arial"/>
                <w:sz w:val="16"/>
                <w:szCs w:val="16"/>
                <w:lang w:val="it-IT"/>
              </w:rPr>
            </w:pPr>
            <w:r w:rsidRPr="00761D60">
              <w:rPr>
                <w:rFonts w:ascii="Arial" w:hAnsi="Arial" w:cs="Arial"/>
                <w:color w:val="000000"/>
                <w:sz w:val="16"/>
                <w:szCs w:val="16"/>
                <w:lang w:val="it-IT"/>
              </w:rPr>
              <w:t>Tel.: 628 88 79 64</w:t>
            </w:r>
          </w:p>
          <w:p w14:paraId="0BBFE845" w14:textId="77777777" w:rsidR="00761D60" w:rsidRPr="00761D60" w:rsidRDefault="00E45460" w:rsidP="00721B40">
            <w:pPr>
              <w:jc w:val="both"/>
              <w:outlineLvl w:val="0"/>
              <w:rPr>
                <w:rFonts w:ascii="Arial" w:hAnsi="Arial" w:cs="Arial"/>
                <w:b/>
                <w:sz w:val="16"/>
                <w:szCs w:val="16"/>
                <w:lang w:val="ca-ES"/>
              </w:rPr>
            </w:pPr>
            <w:hyperlink r:id="rId12" w:history="1">
              <w:r w:rsidR="00761D60" w:rsidRPr="00761D60">
                <w:rPr>
                  <w:rStyle w:val="Hipervnculo"/>
                  <w:rFonts w:ascii="Arial" w:hAnsi="Arial" w:cs="Arial"/>
                  <w:sz w:val="16"/>
                  <w:szCs w:val="16"/>
                  <w:lang w:val="it-IT"/>
                </w:rPr>
                <w:t>cpolo@indiepr.es</w:t>
              </w:r>
            </w:hyperlink>
          </w:p>
        </w:tc>
        <w:tc>
          <w:tcPr>
            <w:tcW w:w="2977" w:type="dxa"/>
          </w:tcPr>
          <w:p w14:paraId="5C3E5C6E" w14:textId="77777777" w:rsidR="00761D60" w:rsidRPr="00761D60" w:rsidRDefault="00761D60" w:rsidP="00721B40">
            <w:pPr>
              <w:jc w:val="both"/>
              <w:rPr>
                <w:rFonts w:ascii="Arial" w:hAnsi="Arial" w:cs="Arial"/>
                <w:sz w:val="16"/>
                <w:szCs w:val="16"/>
                <w:lang w:val="ca-ES"/>
              </w:rPr>
            </w:pPr>
          </w:p>
        </w:tc>
        <w:tc>
          <w:tcPr>
            <w:tcW w:w="3028" w:type="dxa"/>
          </w:tcPr>
          <w:p w14:paraId="5F6CDF18" w14:textId="77777777" w:rsidR="00761D60" w:rsidRPr="00761D60" w:rsidRDefault="00761D60" w:rsidP="00721B40">
            <w:pPr>
              <w:jc w:val="both"/>
              <w:outlineLvl w:val="0"/>
              <w:rPr>
                <w:rFonts w:ascii="Arial" w:hAnsi="Arial" w:cs="Arial"/>
                <w:b/>
                <w:sz w:val="16"/>
                <w:szCs w:val="16"/>
              </w:rPr>
            </w:pPr>
            <w:r w:rsidRPr="00761D60">
              <w:rPr>
                <w:rFonts w:ascii="Arial" w:hAnsi="Arial" w:cs="Arial"/>
                <w:b/>
                <w:sz w:val="16"/>
                <w:szCs w:val="16"/>
              </w:rPr>
              <w:t>ManpowerGroup</w:t>
            </w:r>
          </w:p>
          <w:p w14:paraId="6EB79493" w14:textId="77777777" w:rsidR="00761D60" w:rsidRPr="00761D60" w:rsidRDefault="00761D60" w:rsidP="00721B40">
            <w:pPr>
              <w:jc w:val="both"/>
              <w:outlineLvl w:val="0"/>
              <w:rPr>
                <w:rFonts w:ascii="Arial" w:hAnsi="Arial" w:cs="Arial"/>
                <w:sz w:val="16"/>
                <w:szCs w:val="16"/>
              </w:rPr>
            </w:pPr>
            <w:r w:rsidRPr="00761D60">
              <w:rPr>
                <w:rFonts w:ascii="Arial" w:hAnsi="Arial" w:cs="Arial"/>
                <w:sz w:val="16"/>
                <w:szCs w:val="16"/>
              </w:rPr>
              <w:t>Dpto. Comunicación</w:t>
            </w:r>
          </w:p>
          <w:p w14:paraId="13CBCB15" w14:textId="77777777" w:rsidR="00761D60" w:rsidRPr="00761D60" w:rsidRDefault="00761D60" w:rsidP="00721B40">
            <w:pPr>
              <w:jc w:val="both"/>
              <w:rPr>
                <w:rFonts w:ascii="Arial" w:hAnsi="Arial" w:cs="Arial"/>
                <w:sz w:val="16"/>
                <w:szCs w:val="16"/>
              </w:rPr>
            </w:pPr>
            <w:r w:rsidRPr="00761D60">
              <w:rPr>
                <w:rFonts w:ascii="Arial" w:hAnsi="Arial" w:cs="Arial"/>
                <w:sz w:val="16"/>
                <w:szCs w:val="16"/>
              </w:rPr>
              <w:t>Juan Gómez Rodríguez</w:t>
            </w:r>
          </w:p>
          <w:p w14:paraId="0C3AABE4" w14:textId="77777777" w:rsidR="00761D60" w:rsidRPr="00F51FFC" w:rsidRDefault="00761D60" w:rsidP="00721B40">
            <w:pPr>
              <w:jc w:val="both"/>
              <w:rPr>
                <w:rFonts w:ascii="Arial" w:hAnsi="Arial" w:cs="Arial"/>
                <w:sz w:val="16"/>
                <w:szCs w:val="16"/>
                <w:lang w:val="de-DE"/>
              </w:rPr>
            </w:pPr>
            <w:r w:rsidRPr="00F51FFC">
              <w:rPr>
                <w:rFonts w:ascii="Arial" w:hAnsi="Arial" w:cs="Arial"/>
                <w:sz w:val="16"/>
                <w:szCs w:val="16"/>
                <w:lang w:val="de-DE"/>
              </w:rPr>
              <w:t>Tel. 687 51 96 90</w:t>
            </w:r>
          </w:p>
          <w:p w14:paraId="41E0F357" w14:textId="77777777" w:rsidR="00761D60" w:rsidRPr="00F51FFC" w:rsidRDefault="00E45460" w:rsidP="00721B40">
            <w:pPr>
              <w:jc w:val="both"/>
              <w:rPr>
                <w:rFonts w:ascii="Arial" w:hAnsi="Arial" w:cs="Arial"/>
                <w:sz w:val="16"/>
                <w:szCs w:val="16"/>
                <w:lang w:val="de-DE"/>
              </w:rPr>
            </w:pPr>
            <w:hyperlink r:id="rId13" w:history="1">
              <w:r w:rsidR="00761D60" w:rsidRPr="00F51FFC">
                <w:rPr>
                  <w:rStyle w:val="Hipervnculo"/>
                  <w:rFonts w:ascii="Arial" w:hAnsi="Arial" w:cs="Arial"/>
                  <w:sz w:val="16"/>
                  <w:szCs w:val="16"/>
                  <w:lang w:val="de-DE"/>
                </w:rPr>
                <w:t>juan.gomez@manpowergroup.es</w:t>
              </w:r>
            </w:hyperlink>
          </w:p>
        </w:tc>
      </w:tr>
      <w:bookmarkEnd w:id="17"/>
    </w:tbl>
    <w:p w14:paraId="0F55B214" w14:textId="77777777" w:rsidR="008E54AD" w:rsidRPr="00F51FFC" w:rsidRDefault="008E54AD" w:rsidP="00090345">
      <w:pPr>
        <w:tabs>
          <w:tab w:val="right" w:pos="8838"/>
        </w:tabs>
        <w:autoSpaceDE w:val="0"/>
        <w:autoSpaceDN w:val="0"/>
        <w:adjustRightInd w:val="0"/>
        <w:jc w:val="both"/>
        <w:rPr>
          <w:rFonts w:ascii="Arial" w:hAnsi="Arial" w:cs="Arial"/>
          <w:b/>
          <w:bCs/>
          <w:sz w:val="16"/>
          <w:szCs w:val="16"/>
          <w:lang w:val="de-DE"/>
        </w:rPr>
      </w:pPr>
    </w:p>
    <w:sectPr w:rsidR="008E54AD" w:rsidRPr="00F51FFC" w:rsidSect="00A966D6">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07A0" w14:textId="77777777" w:rsidR="00747CE2" w:rsidRDefault="00747CE2">
      <w:r>
        <w:separator/>
      </w:r>
    </w:p>
  </w:endnote>
  <w:endnote w:type="continuationSeparator" w:id="0">
    <w:p w14:paraId="4C30187C" w14:textId="77777777" w:rsidR="00747CE2" w:rsidRDefault="0074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5" name="Imagen 5"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BA17" w14:textId="77777777" w:rsidR="00747CE2" w:rsidRDefault="00747CE2">
      <w:r>
        <w:separator/>
      </w:r>
    </w:p>
  </w:footnote>
  <w:footnote w:type="continuationSeparator" w:id="0">
    <w:p w14:paraId="1B1EDE0B" w14:textId="77777777" w:rsidR="00747CE2" w:rsidRDefault="00747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3"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27080"/>
    <w:rsid w:val="000310B8"/>
    <w:rsid w:val="0003516C"/>
    <w:rsid w:val="00042488"/>
    <w:rsid w:val="000507C4"/>
    <w:rsid w:val="00063579"/>
    <w:rsid w:val="00066C14"/>
    <w:rsid w:val="0008054F"/>
    <w:rsid w:val="000869A2"/>
    <w:rsid w:val="00090345"/>
    <w:rsid w:val="000A1973"/>
    <w:rsid w:val="000A1EBF"/>
    <w:rsid w:val="000A3669"/>
    <w:rsid w:val="000C12D2"/>
    <w:rsid w:val="000C41F9"/>
    <w:rsid w:val="000D2B5A"/>
    <w:rsid w:val="000D6AB6"/>
    <w:rsid w:val="000E191A"/>
    <w:rsid w:val="000F11D7"/>
    <w:rsid w:val="000F269C"/>
    <w:rsid w:val="000F428E"/>
    <w:rsid w:val="0012170F"/>
    <w:rsid w:val="00124DEA"/>
    <w:rsid w:val="001319E5"/>
    <w:rsid w:val="001324E2"/>
    <w:rsid w:val="00143F63"/>
    <w:rsid w:val="001442A6"/>
    <w:rsid w:val="001463C1"/>
    <w:rsid w:val="00156E14"/>
    <w:rsid w:val="00166FA8"/>
    <w:rsid w:val="00171AAA"/>
    <w:rsid w:val="001740C7"/>
    <w:rsid w:val="00181155"/>
    <w:rsid w:val="00190E3D"/>
    <w:rsid w:val="00195CAB"/>
    <w:rsid w:val="001A2A76"/>
    <w:rsid w:val="001A332D"/>
    <w:rsid w:val="001A60DD"/>
    <w:rsid w:val="001B39AD"/>
    <w:rsid w:val="001C702D"/>
    <w:rsid w:val="001D5BD3"/>
    <w:rsid w:val="001E7292"/>
    <w:rsid w:val="001F3A45"/>
    <w:rsid w:val="00204E64"/>
    <w:rsid w:val="002059D2"/>
    <w:rsid w:val="00205D68"/>
    <w:rsid w:val="0021069A"/>
    <w:rsid w:val="00212129"/>
    <w:rsid w:val="002246BA"/>
    <w:rsid w:val="00224DE1"/>
    <w:rsid w:val="00231877"/>
    <w:rsid w:val="002331A8"/>
    <w:rsid w:val="0024317A"/>
    <w:rsid w:val="00252A0D"/>
    <w:rsid w:val="0027680B"/>
    <w:rsid w:val="00281944"/>
    <w:rsid w:val="00294475"/>
    <w:rsid w:val="002A3D92"/>
    <w:rsid w:val="002A78A1"/>
    <w:rsid w:val="002B3F52"/>
    <w:rsid w:val="002C01E7"/>
    <w:rsid w:val="002C02D9"/>
    <w:rsid w:val="002D032D"/>
    <w:rsid w:val="002E4A5C"/>
    <w:rsid w:val="002F2E0A"/>
    <w:rsid w:val="002F4816"/>
    <w:rsid w:val="003006FC"/>
    <w:rsid w:val="003019C9"/>
    <w:rsid w:val="00310DC4"/>
    <w:rsid w:val="0031490C"/>
    <w:rsid w:val="00321F4F"/>
    <w:rsid w:val="0032424C"/>
    <w:rsid w:val="00326125"/>
    <w:rsid w:val="00331310"/>
    <w:rsid w:val="00332D02"/>
    <w:rsid w:val="00336187"/>
    <w:rsid w:val="00337FD2"/>
    <w:rsid w:val="00344595"/>
    <w:rsid w:val="00346E05"/>
    <w:rsid w:val="003470C8"/>
    <w:rsid w:val="003509A5"/>
    <w:rsid w:val="0036538C"/>
    <w:rsid w:val="00380B8C"/>
    <w:rsid w:val="00383F58"/>
    <w:rsid w:val="00390D3C"/>
    <w:rsid w:val="003A214F"/>
    <w:rsid w:val="003A2B29"/>
    <w:rsid w:val="003A49AD"/>
    <w:rsid w:val="003A5A50"/>
    <w:rsid w:val="003A6138"/>
    <w:rsid w:val="003C61D6"/>
    <w:rsid w:val="003C6EC8"/>
    <w:rsid w:val="003D0E85"/>
    <w:rsid w:val="003D4F9E"/>
    <w:rsid w:val="003D6B89"/>
    <w:rsid w:val="003E371D"/>
    <w:rsid w:val="00401989"/>
    <w:rsid w:val="00407AD8"/>
    <w:rsid w:val="0041325B"/>
    <w:rsid w:val="00416931"/>
    <w:rsid w:val="0044035B"/>
    <w:rsid w:val="00441AA5"/>
    <w:rsid w:val="00443A21"/>
    <w:rsid w:val="00456993"/>
    <w:rsid w:val="004612C2"/>
    <w:rsid w:val="00485E70"/>
    <w:rsid w:val="00493CFD"/>
    <w:rsid w:val="004958BB"/>
    <w:rsid w:val="00497689"/>
    <w:rsid w:val="004B5032"/>
    <w:rsid w:val="004C0F40"/>
    <w:rsid w:val="004C607E"/>
    <w:rsid w:val="004C7FBD"/>
    <w:rsid w:val="004D1FAF"/>
    <w:rsid w:val="004E23C4"/>
    <w:rsid w:val="004E2530"/>
    <w:rsid w:val="004F67EC"/>
    <w:rsid w:val="00512001"/>
    <w:rsid w:val="005201CA"/>
    <w:rsid w:val="00533536"/>
    <w:rsid w:val="00541A7B"/>
    <w:rsid w:val="00546498"/>
    <w:rsid w:val="00547D42"/>
    <w:rsid w:val="00561B53"/>
    <w:rsid w:val="00576DDF"/>
    <w:rsid w:val="00577B92"/>
    <w:rsid w:val="0059060D"/>
    <w:rsid w:val="005A7DB1"/>
    <w:rsid w:val="005A7E9C"/>
    <w:rsid w:val="005B2218"/>
    <w:rsid w:val="005B5B40"/>
    <w:rsid w:val="005B7CDC"/>
    <w:rsid w:val="005C33ED"/>
    <w:rsid w:val="005C4439"/>
    <w:rsid w:val="005D1AE9"/>
    <w:rsid w:val="005D5DC2"/>
    <w:rsid w:val="005E0E99"/>
    <w:rsid w:val="005E4173"/>
    <w:rsid w:val="005F1CEB"/>
    <w:rsid w:val="005F3998"/>
    <w:rsid w:val="00600F24"/>
    <w:rsid w:val="0060110C"/>
    <w:rsid w:val="006213E2"/>
    <w:rsid w:val="0064466A"/>
    <w:rsid w:val="006515B4"/>
    <w:rsid w:val="00652342"/>
    <w:rsid w:val="006570E0"/>
    <w:rsid w:val="006602D5"/>
    <w:rsid w:val="00663580"/>
    <w:rsid w:val="00685895"/>
    <w:rsid w:val="00687087"/>
    <w:rsid w:val="00694B11"/>
    <w:rsid w:val="00697039"/>
    <w:rsid w:val="006972C0"/>
    <w:rsid w:val="006A1012"/>
    <w:rsid w:val="006B6CC7"/>
    <w:rsid w:val="006B7478"/>
    <w:rsid w:val="006D54CF"/>
    <w:rsid w:val="006E3790"/>
    <w:rsid w:val="006E3A61"/>
    <w:rsid w:val="006E6724"/>
    <w:rsid w:val="006E6A20"/>
    <w:rsid w:val="0070547F"/>
    <w:rsid w:val="00710280"/>
    <w:rsid w:val="00715BBB"/>
    <w:rsid w:val="00720F29"/>
    <w:rsid w:val="0072269E"/>
    <w:rsid w:val="00731C5F"/>
    <w:rsid w:val="00747CE2"/>
    <w:rsid w:val="00750181"/>
    <w:rsid w:val="00750C5B"/>
    <w:rsid w:val="00761D60"/>
    <w:rsid w:val="00763C96"/>
    <w:rsid w:val="00765378"/>
    <w:rsid w:val="00773069"/>
    <w:rsid w:val="00787F0D"/>
    <w:rsid w:val="00797695"/>
    <w:rsid w:val="007A0082"/>
    <w:rsid w:val="007A0CED"/>
    <w:rsid w:val="007A1361"/>
    <w:rsid w:val="007A74B1"/>
    <w:rsid w:val="007B0AFA"/>
    <w:rsid w:val="007B59D1"/>
    <w:rsid w:val="007B679F"/>
    <w:rsid w:val="007C1C1A"/>
    <w:rsid w:val="007E3CDF"/>
    <w:rsid w:val="00801C70"/>
    <w:rsid w:val="00807311"/>
    <w:rsid w:val="0081638E"/>
    <w:rsid w:val="00822154"/>
    <w:rsid w:val="00824B8D"/>
    <w:rsid w:val="00825CE9"/>
    <w:rsid w:val="00833581"/>
    <w:rsid w:val="00834898"/>
    <w:rsid w:val="00836F8E"/>
    <w:rsid w:val="00841381"/>
    <w:rsid w:val="00853C2E"/>
    <w:rsid w:val="00854BFA"/>
    <w:rsid w:val="00857C81"/>
    <w:rsid w:val="00861B43"/>
    <w:rsid w:val="008764B5"/>
    <w:rsid w:val="00882FCB"/>
    <w:rsid w:val="00885750"/>
    <w:rsid w:val="0089190E"/>
    <w:rsid w:val="00894DEA"/>
    <w:rsid w:val="008A4224"/>
    <w:rsid w:val="008B0BEA"/>
    <w:rsid w:val="008B155B"/>
    <w:rsid w:val="008B71B4"/>
    <w:rsid w:val="008C0114"/>
    <w:rsid w:val="008C5AB0"/>
    <w:rsid w:val="008C7DC2"/>
    <w:rsid w:val="008D39F2"/>
    <w:rsid w:val="008E54AD"/>
    <w:rsid w:val="008E730B"/>
    <w:rsid w:val="008F077C"/>
    <w:rsid w:val="008F1B68"/>
    <w:rsid w:val="008F1BBD"/>
    <w:rsid w:val="00910200"/>
    <w:rsid w:val="009164C2"/>
    <w:rsid w:val="00925414"/>
    <w:rsid w:val="00926099"/>
    <w:rsid w:val="00927308"/>
    <w:rsid w:val="00932CB7"/>
    <w:rsid w:val="00942998"/>
    <w:rsid w:val="009436E0"/>
    <w:rsid w:val="0094507D"/>
    <w:rsid w:val="0095341D"/>
    <w:rsid w:val="0096266D"/>
    <w:rsid w:val="0097553E"/>
    <w:rsid w:val="00977BE7"/>
    <w:rsid w:val="00980C09"/>
    <w:rsid w:val="00981941"/>
    <w:rsid w:val="009A0E87"/>
    <w:rsid w:val="009A1EB0"/>
    <w:rsid w:val="009A3526"/>
    <w:rsid w:val="009A4EA0"/>
    <w:rsid w:val="009A6F8A"/>
    <w:rsid w:val="009C2675"/>
    <w:rsid w:val="009C45C0"/>
    <w:rsid w:val="009D3CF7"/>
    <w:rsid w:val="009E06CC"/>
    <w:rsid w:val="009E6171"/>
    <w:rsid w:val="009F01EA"/>
    <w:rsid w:val="009F1332"/>
    <w:rsid w:val="009F315E"/>
    <w:rsid w:val="009F7DB9"/>
    <w:rsid w:val="009F7E1C"/>
    <w:rsid w:val="00A05766"/>
    <w:rsid w:val="00A20F38"/>
    <w:rsid w:val="00A25658"/>
    <w:rsid w:val="00A41710"/>
    <w:rsid w:val="00A41AA5"/>
    <w:rsid w:val="00A50B4D"/>
    <w:rsid w:val="00A52AAA"/>
    <w:rsid w:val="00A52E71"/>
    <w:rsid w:val="00A54B87"/>
    <w:rsid w:val="00A56426"/>
    <w:rsid w:val="00A574BF"/>
    <w:rsid w:val="00A640F6"/>
    <w:rsid w:val="00A645A2"/>
    <w:rsid w:val="00A7208B"/>
    <w:rsid w:val="00A73C99"/>
    <w:rsid w:val="00A966D6"/>
    <w:rsid w:val="00AA5C1C"/>
    <w:rsid w:val="00AB24A2"/>
    <w:rsid w:val="00AB6539"/>
    <w:rsid w:val="00AF11D7"/>
    <w:rsid w:val="00AF223E"/>
    <w:rsid w:val="00B03429"/>
    <w:rsid w:val="00B05CD9"/>
    <w:rsid w:val="00B05D48"/>
    <w:rsid w:val="00B116AF"/>
    <w:rsid w:val="00B25727"/>
    <w:rsid w:val="00B5158D"/>
    <w:rsid w:val="00B628EE"/>
    <w:rsid w:val="00B75AC2"/>
    <w:rsid w:val="00B8069B"/>
    <w:rsid w:val="00B963D0"/>
    <w:rsid w:val="00BA01EB"/>
    <w:rsid w:val="00BA4D8D"/>
    <w:rsid w:val="00BB1160"/>
    <w:rsid w:val="00BB39D9"/>
    <w:rsid w:val="00BC2B93"/>
    <w:rsid w:val="00BC45B7"/>
    <w:rsid w:val="00BC46BE"/>
    <w:rsid w:val="00BE22AA"/>
    <w:rsid w:val="00BF0CA1"/>
    <w:rsid w:val="00BF2547"/>
    <w:rsid w:val="00BF5E11"/>
    <w:rsid w:val="00BF7FDF"/>
    <w:rsid w:val="00C06B0E"/>
    <w:rsid w:val="00C145C5"/>
    <w:rsid w:val="00C536C9"/>
    <w:rsid w:val="00C54617"/>
    <w:rsid w:val="00C60787"/>
    <w:rsid w:val="00C61314"/>
    <w:rsid w:val="00C7314E"/>
    <w:rsid w:val="00C76422"/>
    <w:rsid w:val="00C83097"/>
    <w:rsid w:val="00C91CCE"/>
    <w:rsid w:val="00C952AF"/>
    <w:rsid w:val="00CA0905"/>
    <w:rsid w:val="00CB1A27"/>
    <w:rsid w:val="00CC0837"/>
    <w:rsid w:val="00CC188B"/>
    <w:rsid w:val="00CC69CF"/>
    <w:rsid w:val="00CF74FF"/>
    <w:rsid w:val="00D02D48"/>
    <w:rsid w:val="00D04D6F"/>
    <w:rsid w:val="00D076F3"/>
    <w:rsid w:val="00D12D3F"/>
    <w:rsid w:val="00D14253"/>
    <w:rsid w:val="00D158E9"/>
    <w:rsid w:val="00D21BC9"/>
    <w:rsid w:val="00D260E9"/>
    <w:rsid w:val="00D27B5C"/>
    <w:rsid w:val="00D3343D"/>
    <w:rsid w:val="00D3571D"/>
    <w:rsid w:val="00D36245"/>
    <w:rsid w:val="00D44426"/>
    <w:rsid w:val="00D44823"/>
    <w:rsid w:val="00D63AB2"/>
    <w:rsid w:val="00D64482"/>
    <w:rsid w:val="00D64574"/>
    <w:rsid w:val="00D76407"/>
    <w:rsid w:val="00D7641E"/>
    <w:rsid w:val="00D8655C"/>
    <w:rsid w:val="00D90EF8"/>
    <w:rsid w:val="00D92B75"/>
    <w:rsid w:val="00D96635"/>
    <w:rsid w:val="00DA2D0A"/>
    <w:rsid w:val="00DA4356"/>
    <w:rsid w:val="00DA4719"/>
    <w:rsid w:val="00DB0F1B"/>
    <w:rsid w:val="00DB45BA"/>
    <w:rsid w:val="00DB5EEF"/>
    <w:rsid w:val="00DC304A"/>
    <w:rsid w:val="00DC55EB"/>
    <w:rsid w:val="00DC6709"/>
    <w:rsid w:val="00DD4924"/>
    <w:rsid w:val="00DF1DDF"/>
    <w:rsid w:val="00DF2519"/>
    <w:rsid w:val="00DF3C14"/>
    <w:rsid w:val="00E10601"/>
    <w:rsid w:val="00E10F98"/>
    <w:rsid w:val="00E13675"/>
    <w:rsid w:val="00E13BED"/>
    <w:rsid w:val="00E14B59"/>
    <w:rsid w:val="00E151DB"/>
    <w:rsid w:val="00E32CA6"/>
    <w:rsid w:val="00E375F1"/>
    <w:rsid w:val="00E45460"/>
    <w:rsid w:val="00E6057E"/>
    <w:rsid w:val="00E640EF"/>
    <w:rsid w:val="00E675C5"/>
    <w:rsid w:val="00E71ADB"/>
    <w:rsid w:val="00E76FE8"/>
    <w:rsid w:val="00E845CF"/>
    <w:rsid w:val="00E909F9"/>
    <w:rsid w:val="00E91772"/>
    <w:rsid w:val="00E93F97"/>
    <w:rsid w:val="00E9600E"/>
    <w:rsid w:val="00EA5DFA"/>
    <w:rsid w:val="00EA7C7E"/>
    <w:rsid w:val="00EB11D6"/>
    <w:rsid w:val="00ED086E"/>
    <w:rsid w:val="00ED4D55"/>
    <w:rsid w:val="00ED788C"/>
    <w:rsid w:val="00EF4233"/>
    <w:rsid w:val="00EF7ED2"/>
    <w:rsid w:val="00F00E57"/>
    <w:rsid w:val="00F03D39"/>
    <w:rsid w:val="00F06E89"/>
    <w:rsid w:val="00F0730E"/>
    <w:rsid w:val="00F17A4D"/>
    <w:rsid w:val="00F24D52"/>
    <w:rsid w:val="00F34988"/>
    <w:rsid w:val="00F403AB"/>
    <w:rsid w:val="00F42A65"/>
    <w:rsid w:val="00F45079"/>
    <w:rsid w:val="00F45C5A"/>
    <w:rsid w:val="00F46A83"/>
    <w:rsid w:val="00F51FFC"/>
    <w:rsid w:val="00F5395E"/>
    <w:rsid w:val="00F66A0E"/>
    <w:rsid w:val="00F72967"/>
    <w:rsid w:val="00F73A73"/>
    <w:rsid w:val="00F93A2E"/>
    <w:rsid w:val="00F95E09"/>
    <w:rsid w:val="00FA56FE"/>
    <w:rsid w:val="00FB1381"/>
    <w:rsid w:val="00FB561C"/>
    <w:rsid w:val="00FC3937"/>
    <w:rsid w:val="00FC7D4B"/>
    <w:rsid w:val="00FE3A32"/>
    <w:rsid w:val="00FE6AB0"/>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A4D8D"/>
    <w:rPr>
      <w:b/>
      <w:bCs/>
      <w:lang w:eastAsia="es-ES"/>
    </w:rPr>
  </w:style>
  <w:style w:type="character" w:customStyle="1" w:styleId="AsuntodelcomentarioCar">
    <w:name w:val="Asunto del comentario Car"/>
    <w:basedOn w:val="TextocomentarioCar"/>
    <w:link w:val="Asuntodelcomentario"/>
    <w:uiPriority w:val="99"/>
    <w:semiHidden/>
    <w:rsid w:val="00BA4D8D"/>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354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9666667">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46660038">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07906010">
      <w:bodyDiv w:val="1"/>
      <w:marLeft w:val="0"/>
      <w:marRight w:val="0"/>
      <w:marTop w:val="0"/>
      <w:marBottom w:val="0"/>
      <w:divBdr>
        <w:top w:val="none" w:sz="0" w:space="0" w:color="auto"/>
        <w:left w:val="none" w:sz="0" w:space="0" w:color="auto"/>
        <w:bottom w:val="none" w:sz="0" w:space="0" w:color="auto"/>
        <w:right w:val="none" w:sz="0" w:space="0" w:color="auto"/>
      </w:divBdr>
    </w:div>
    <w:div w:id="562451697">
      <w:bodyDiv w:val="1"/>
      <w:marLeft w:val="0"/>
      <w:marRight w:val="0"/>
      <w:marTop w:val="0"/>
      <w:marBottom w:val="0"/>
      <w:divBdr>
        <w:top w:val="none" w:sz="0" w:space="0" w:color="auto"/>
        <w:left w:val="none" w:sz="0" w:space="0" w:color="auto"/>
        <w:bottom w:val="none" w:sz="0" w:space="0" w:color="auto"/>
        <w:right w:val="none" w:sz="0" w:space="0" w:color="auto"/>
      </w:divBdr>
    </w:div>
    <w:div w:id="598217711">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38027819">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12481843">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75866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6324670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99556895">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7212024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51492600">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374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lo@indiep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1664-C86E-4AA0-BC64-DDE645A0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1207</Words>
  <Characters>6644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9</cp:revision>
  <cp:lastPrinted>2022-12-19T17:21:00Z</cp:lastPrinted>
  <dcterms:created xsi:type="dcterms:W3CDTF">2024-06-11T08:59:00Z</dcterms:created>
  <dcterms:modified xsi:type="dcterms:W3CDTF">2024-09-03T17:20:00Z</dcterms:modified>
</cp:coreProperties>
</file>