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3CC72589" w:rsidR="003436D7" w:rsidRDefault="003436D7"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 xml:space="preserve">Estudio de Proyección de Empleo de ManpowerGroup para </w:t>
      </w:r>
      <w:r w:rsidR="00CC3472">
        <w:rPr>
          <w:rFonts w:ascii="Arial" w:eastAsia="Arial" w:hAnsi="Arial" w:cs="Arial"/>
          <w:b/>
          <w:color w:val="000000"/>
          <w:sz w:val="20"/>
          <w:szCs w:val="20"/>
          <w:u w:val="single"/>
        </w:rPr>
        <w:t>enero</w:t>
      </w:r>
      <w:r w:rsidRPr="003436D7">
        <w:rPr>
          <w:rFonts w:ascii="Arial" w:eastAsia="Arial" w:hAnsi="Arial" w:cs="Arial"/>
          <w:b/>
          <w:color w:val="000000"/>
          <w:sz w:val="20"/>
          <w:szCs w:val="20"/>
          <w:u w:val="single"/>
        </w:rPr>
        <w:t>-</w:t>
      </w:r>
      <w:r w:rsidR="00CC3472">
        <w:rPr>
          <w:rFonts w:ascii="Arial" w:eastAsia="Arial" w:hAnsi="Arial" w:cs="Arial"/>
          <w:b/>
          <w:color w:val="000000"/>
          <w:sz w:val="20"/>
          <w:szCs w:val="20"/>
          <w:u w:val="single"/>
        </w:rPr>
        <w:t>marzo</w:t>
      </w:r>
      <w:r w:rsidR="00CC3472" w:rsidRPr="003436D7">
        <w:rPr>
          <w:rFonts w:ascii="Arial" w:eastAsia="Arial" w:hAnsi="Arial" w:cs="Arial"/>
          <w:b/>
          <w:color w:val="000000"/>
          <w:sz w:val="20"/>
          <w:szCs w:val="20"/>
          <w:u w:val="single"/>
        </w:rPr>
        <w:t xml:space="preserve"> </w:t>
      </w:r>
      <w:r w:rsidR="00CC3472">
        <w:rPr>
          <w:rFonts w:ascii="Arial" w:eastAsia="Arial" w:hAnsi="Arial" w:cs="Arial"/>
          <w:b/>
          <w:color w:val="000000"/>
          <w:sz w:val="20"/>
          <w:szCs w:val="20"/>
          <w:u w:val="single"/>
        </w:rPr>
        <w:t>2025</w:t>
      </w:r>
    </w:p>
    <w:p w14:paraId="5BE72514" w14:textId="77777777" w:rsidR="00AC2022" w:rsidRDefault="00AC2022" w:rsidP="001828BD">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7CA88A6A" w14:textId="7FA799CC" w:rsidR="00C06650" w:rsidRDefault="007350DA" w:rsidP="003A30A0">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Las empresas de </w:t>
      </w:r>
      <w:r w:rsidR="00C06650">
        <w:rPr>
          <w:rFonts w:ascii="Arial" w:eastAsia="Arial" w:hAnsi="Arial" w:cs="Arial"/>
          <w:b/>
          <w:bCs/>
          <w:sz w:val="36"/>
          <w:szCs w:val="36"/>
        </w:rPr>
        <w:t xml:space="preserve">Bienes y servicios de consumo </w:t>
      </w:r>
      <w:r>
        <w:rPr>
          <w:rFonts w:ascii="Arial" w:eastAsia="Arial" w:hAnsi="Arial" w:cs="Arial"/>
          <w:b/>
          <w:bCs/>
          <w:sz w:val="36"/>
          <w:szCs w:val="36"/>
        </w:rPr>
        <w:t xml:space="preserve">se muestran prudentes en sus estimaciones de contratación </w:t>
      </w:r>
      <w:r w:rsidR="00115A4B">
        <w:rPr>
          <w:rFonts w:ascii="Arial" w:eastAsia="Arial" w:hAnsi="Arial" w:cs="Arial"/>
          <w:b/>
          <w:bCs/>
          <w:sz w:val="36"/>
          <w:szCs w:val="36"/>
        </w:rPr>
        <w:t>el primer trimestre del año</w:t>
      </w:r>
    </w:p>
    <w:p w14:paraId="37289933" w14:textId="77777777" w:rsidR="00AC2022" w:rsidRPr="00AC2022" w:rsidRDefault="00AC2022" w:rsidP="00AC2022">
      <w:pPr>
        <w:spacing w:before="120" w:line="288" w:lineRule="auto"/>
        <w:jc w:val="both"/>
        <w:rPr>
          <w:rFonts w:ascii="Arial" w:eastAsia="Arial" w:hAnsi="Arial" w:cs="Arial"/>
          <w:b/>
          <w:sz w:val="23"/>
          <w:szCs w:val="23"/>
        </w:rPr>
      </w:pPr>
    </w:p>
    <w:p w14:paraId="7617DF6D" w14:textId="6A9C2316" w:rsidR="00C06650" w:rsidRPr="00C4624D" w:rsidRDefault="00C06650" w:rsidP="00C4624D">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El sector </w:t>
      </w:r>
      <w:r w:rsidR="009A1298">
        <w:rPr>
          <w:rFonts w:ascii="Arial" w:eastAsia="Arial" w:hAnsi="Arial" w:cs="Arial"/>
          <w:b/>
          <w:sz w:val="23"/>
          <w:szCs w:val="23"/>
        </w:rPr>
        <w:t xml:space="preserve">retrocede </w:t>
      </w:r>
      <w:r>
        <w:rPr>
          <w:rFonts w:ascii="Arial" w:eastAsia="Arial" w:hAnsi="Arial" w:cs="Arial"/>
          <w:b/>
          <w:sz w:val="23"/>
          <w:szCs w:val="23"/>
        </w:rPr>
        <w:t xml:space="preserve">14 puntos respecto al </w:t>
      </w:r>
      <w:r w:rsidR="009A1298">
        <w:rPr>
          <w:rFonts w:ascii="Arial" w:eastAsia="Arial" w:hAnsi="Arial" w:cs="Arial"/>
          <w:b/>
          <w:sz w:val="23"/>
          <w:szCs w:val="23"/>
        </w:rPr>
        <w:t xml:space="preserve">último </w:t>
      </w:r>
      <w:r>
        <w:rPr>
          <w:rFonts w:ascii="Arial" w:eastAsia="Arial" w:hAnsi="Arial" w:cs="Arial"/>
          <w:b/>
          <w:sz w:val="23"/>
          <w:szCs w:val="23"/>
        </w:rPr>
        <w:t xml:space="preserve">trimestre </w:t>
      </w:r>
      <w:r w:rsidR="009A1298">
        <w:rPr>
          <w:rFonts w:ascii="Arial" w:eastAsia="Arial" w:hAnsi="Arial" w:cs="Arial"/>
          <w:b/>
          <w:sz w:val="23"/>
          <w:szCs w:val="23"/>
        </w:rPr>
        <w:t>del 2024</w:t>
      </w:r>
      <w:r w:rsidR="00670B5E">
        <w:rPr>
          <w:rFonts w:ascii="Arial" w:eastAsia="Arial" w:hAnsi="Arial" w:cs="Arial"/>
          <w:b/>
          <w:sz w:val="23"/>
          <w:szCs w:val="23"/>
        </w:rPr>
        <w:t xml:space="preserve"> </w:t>
      </w:r>
      <w:r w:rsidR="009A1298">
        <w:rPr>
          <w:rFonts w:ascii="Arial" w:eastAsia="Arial" w:hAnsi="Arial" w:cs="Arial"/>
          <w:b/>
          <w:sz w:val="23"/>
          <w:szCs w:val="23"/>
        </w:rPr>
        <w:t>que</w:t>
      </w:r>
      <w:r w:rsidR="00670B5E">
        <w:rPr>
          <w:rFonts w:ascii="Arial" w:eastAsia="Arial" w:hAnsi="Arial" w:cs="Arial"/>
          <w:b/>
          <w:sz w:val="23"/>
          <w:szCs w:val="23"/>
        </w:rPr>
        <w:t>,</w:t>
      </w:r>
      <w:r w:rsidR="009A1298">
        <w:rPr>
          <w:rFonts w:ascii="Arial" w:eastAsia="Arial" w:hAnsi="Arial" w:cs="Arial"/>
          <w:b/>
          <w:sz w:val="23"/>
          <w:szCs w:val="23"/>
        </w:rPr>
        <w:t xml:space="preserve"> debido a la campaña de </w:t>
      </w:r>
      <w:r w:rsidR="00670B5E">
        <w:rPr>
          <w:rFonts w:ascii="Arial" w:eastAsia="Arial" w:hAnsi="Arial" w:cs="Arial"/>
          <w:b/>
          <w:sz w:val="23"/>
          <w:szCs w:val="23"/>
        </w:rPr>
        <w:t>N</w:t>
      </w:r>
      <w:r w:rsidR="009A1298">
        <w:rPr>
          <w:rFonts w:ascii="Arial" w:eastAsia="Arial" w:hAnsi="Arial" w:cs="Arial"/>
          <w:b/>
          <w:sz w:val="23"/>
          <w:szCs w:val="23"/>
        </w:rPr>
        <w:t>avidad suele ser más activo,</w:t>
      </w:r>
      <w:r w:rsidR="007350DA">
        <w:rPr>
          <w:rFonts w:ascii="Arial" w:eastAsia="Arial" w:hAnsi="Arial" w:cs="Arial"/>
          <w:b/>
          <w:sz w:val="23"/>
          <w:szCs w:val="23"/>
        </w:rPr>
        <w:t xml:space="preserve"> y </w:t>
      </w:r>
      <w:r w:rsidR="00115A4B">
        <w:rPr>
          <w:rFonts w:ascii="Arial" w:eastAsia="Arial" w:hAnsi="Arial" w:cs="Arial"/>
          <w:b/>
          <w:sz w:val="23"/>
          <w:szCs w:val="23"/>
        </w:rPr>
        <w:t>registra</w:t>
      </w:r>
      <w:r w:rsidR="007350DA">
        <w:rPr>
          <w:rFonts w:ascii="Arial" w:eastAsia="Arial" w:hAnsi="Arial" w:cs="Arial"/>
          <w:b/>
          <w:sz w:val="23"/>
          <w:szCs w:val="23"/>
        </w:rPr>
        <w:t xml:space="preserve"> unas expectativas</w:t>
      </w:r>
      <w:r w:rsidR="00115A4B">
        <w:rPr>
          <w:rFonts w:ascii="Arial" w:eastAsia="Arial" w:hAnsi="Arial" w:cs="Arial"/>
          <w:b/>
          <w:sz w:val="23"/>
          <w:szCs w:val="23"/>
        </w:rPr>
        <w:t xml:space="preserve"> netas</w:t>
      </w:r>
      <w:r w:rsidR="007350DA">
        <w:rPr>
          <w:rFonts w:ascii="Arial" w:eastAsia="Arial" w:hAnsi="Arial" w:cs="Arial"/>
          <w:b/>
          <w:sz w:val="23"/>
          <w:szCs w:val="23"/>
        </w:rPr>
        <w:t xml:space="preserve"> de contratación del 10%</w:t>
      </w:r>
      <w:r>
        <w:rPr>
          <w:rFonts w:ascii="Arial" w:eastAsia="Arial" w:hAnsi="Arial" w:cs="Arial"/>
          <w:b/>
          <w:sz w:val="23"/>
          <w:szCs w:val="23"/>
        </w:rPr>
        <w:t>.</w:t>
      </w:r>
    </w:p>
    <w:p w14:paraId="016E20A9" w14:textId="2701C220" w:rsidR="00DE15C9" w:rsidRPr="00C4624D" w:rsidRDefault="00567779" w:rsidP="00C4624D">
      <w:pPr>
        <w:pStyle w:val="Prrafodelista"/>
        <w:numPr>
          <w:ilvl w:val="0"/>
          <w:numId w:val="7"/>
        </w:numPr>
        <w:spacing w:before="120" w:line="288" w:lineRule="auto"/>
        <w:contextualSpacing w:val="0"/>
        <w:jc w:val="both"/>
        <w:rPr>
          <w:rFonts w:ascii="Arial" w:eastAsia="Arial" w:hAnsi="Arial" w:cs="Arial"/>
          <w:bCs/>
          <w:sz w:val="22"/>
          <w:szCs w:val="22"/>
        </w:rPr>
      </w:pPr>
      <w:r>
        <w:rPr>
          <w:rFonts w:ascii="Arial" w:eastAsia="Arial" w:hAnsi="Arial" w:cs="Arial"/>
          <w:b/>
          <w:sz w:val="23"/>
          <w:szCs w:val="23"/>
        </w:rPr>
        <w:t xml:space="preserve">Tecnología </w:t>
      </w:r>
      <w:r w:rsidR="00DE15C9">
        <w:rPr>
          <w:rFonts w:ascii="Arial" w:eastAsia="Arial" w:hAnsi="Arial" w:cs="Arial"/>
          <w:b/>
          <w:sz w:val="23"/>
          <w:szCs w:val="23"/>
        </w:rPr>
        <w:t xml:space="preserve">lidera el ranking con unas </w:t>
      </w:r>
      <w:r>
        <w:rPr>
          <w:rFonts w:ascii="Arial" w:eastAsia="Arial" w:hAnsi="Arial" w:cs="Arial"/>
          <w:b/>
          <w:sz w:val="23"/>
          <w:szCs w:val="23"/>
        </w:rPr>
        <w:t>estimaciones</w:t>
      </w:r>
      <w:r w:rsidR="00DE15C9">
        <w:rPr>
          <w:rFonts w:ascii="Arial" w:eastAsia="Arial" w:hAnsi="Arial" w:cs="Arial"/>
          <w:b/>
          <w:sz w:val="23"/>
          <w:szCs w:val="23"/>
        </w:rPr>
        <w:t xml:space="preserve"> del 27%, seguido de Transporte, logística y automoción y Publicidad y comunicación, ambas con un 20%.</w:t>
      </w:r>
    </w:p>
    <w:p w14:paraId="46E2B9B3" w14:textId="049B37E2" w:rsidR="00710857" w:rsidRPr="001828BD" w:rsidRDefault="009A1298" w:rsidP="001828BD">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En el lado opuesto de la clasificación </w:t>
      </w:r>
      <w:r w:rsidR="00710857">
        <w:rPr>
          <w:rFonts w:ascii="Arial" w:eastAsia="Arial" w:hAnsi="Arial" w:cs="Arial"/>
          <w:b/>
          <w:sz w:val="23"/>
          <w:szCs w:val="23"/>
        </w:rPr>
        <w:t xml:space="preserve">se </w:t>
      </w:r>
      <w:r w:rsidR="002B2305">
        <w:rPr>
          <w:rFonts w:ascii="Arial" w:eastAsia="Arial" w:hAnsi="Arial" w:cs="Arial"/>
          <w:b/>
          <w:sz w:val="23"/>
          <w:szCs w:val="23"/>
        </w:rPr>
        <w:t xml:space="preserve">sitúan </w:t>
      </w:r>
      <w:r w:rsidR="00710857">
        <w:rPr>
          <w:rFonts w:ascii="Arial" w:eastAsia="Arial" w:hAnsi="Arial" w:cs="Arial"/>
          <w:b/>
          <w:sz w:val="23"/>
          <w:szCs w:val="23"/>
        </w:rPr>
        <w:t>las compañías de Energía y suministros con unas expectativas de contratación del 2%.</w:t>
      </w:r>
    </w:p>
    <w:p w14:paraId="4FB7BB41" w14:textId="77777777" w:rsidR="00700FE8" w:rsidRPr="00F12D89" w:rsidRDefault="00700FE8" w:rsidP="001828BD">
      <w:pPr>
        <w:spacing w:before="120" w:line="288" w:lineRule="auto"/>
        <w:jc w:val="both"/>
        <w:rPr>
          <w:rFonts w:ascii="Arial" w:eastAsia="Arial" w:hAnsi="Arial" w:cs="Arial"/>
          <w:b/>
          <w:sz w:val="22"/>
          <w:szCs w:val="22"/>
        </w:rPr>
      </w:pPr>
    </w:p>
    <w:bookmarkEnd w:id="2"/>
    <w:p w14:paraId="1F607863" w14:textId="7517B40B" w:rsidR="00C06650" w:rsidRDefault="00196895" w:rsidP="001828BD">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432F1">
        <w:rPr>
          <w:rFonts w:ascii="Arial" w:eastAsia="Arial" w:hAnsi="Arial" w:cs="Arial"/>
          <w:b/>
          <w:sz w:val="22"/>
          <w:szCs w:val="22"/>
        </w:rPr>
        <w:t>17</w:t>
      </w:r>
      <w:r w:rsidR="00D7168F">
        <w:rPr>
          <w:rFonts w:ascii="Arial" w:eastAsia="Arial" w:hAnsi="Arial" w:cs="Arial"/>
          <w:b/>
          <w:sz w:val="22"/>
          <w:szCs w:val="22"/>
        </w:rPr>
        <w:t xml:space="preserve"> </w:t>
      </w:r>
      <w:r w:rsidRPr="00584891">
        <w:rPr>
          <w:rFonts w:ascii="Arial" w:eastAsia="Arial" w:hAnsi="Arial" w:cs="Arial"/>
          <w:b/>
          <w:sz w:val="22"/>
          <w:szCs w:val="22"/>
        </w:rPr>
        <w:t xml:space="preserve">de </w:t>
      </w:r>
      <w:r w:rsidR="00D7168F">
        <w:rPr>
          <w:rFonts w:ascii="Arial" w:eastAsia="Arial" w:hAnsi="Arial" w:cs="Arial"/>
          <w:b/>
          <w:sz w:val="22"/>
          <w:szCs w:val="22"/>
        </w:rPr>
        <w:t>diciembre</w:t>
      </w:r>
      <w:r w:rsidR="00D7168F" w:rsidRPr="00584891">
        <w:rPr>
          <w:rFonts w:ascii="Arial" w:eastAsia="Arial" w:hAnsi="Arial" w:cs="Arial"/>
          <w:b/>
          <w:sz w:val="22"/>
          <w:szCs w:val="22"/>
        </w:rPr>
        <w:t xml:space="preserve"> </w:t>
      </w:r>
      <w:r w:rsidRPr="00584891">
        <w:rPr>
          <w:rFonts w:ascii="Arial" w:eastAsia="Arial" w:hAnsi="Arial" w:cs="Arial"/>
          <w:b/>
          <w:sz w:val="22"/>
          <w:szCs w:val="22"/>
        </w:rPr>
        <w:t>de 2024.-</w:t>
      </w:r>
      <w:bookmarkStart w:id="3" w:name="_Hlk113557102"/>
      <w:r w:rsidRPr="00584891">
        <w:rPr>
          <w:rFonts w:ascii="Arial" w:eastAsia="Arial" w:hAnsi="Arial" w:cs="Arial"/>
          <w:b/>
          <w:sz w:val="22"/>
          <w:szCs w:val="22"/>
        </w:rPr>
        <w:t xml:space="preserve"> </w:t>
      </w:r>
      <w:bookmarkStart w:id="4" w:name="_Hlk137140302"/>
      <w:r w:rsidR="00C06650">
        <w:rPr>
          <w:rFonts w:ascii="Arial" w:eastAsia="Arial" w:hAnsi="Arial" w:cs="Arial"/>
          <w:bCs/>
          <w:sz w:val="22"/>
          <w:szCs w:val="22"/>
        </w:rPr>
        <w:t xml:space="preserve">Las empresas del sector Bienes y servicios de consumo se muestran </w:t>
      </w:r>
      <w:r w:rsidR="009A1298">
        <w:rPr>
          <w:rFonts w:ascii="Arial" w:eastAsia="Arial" w:hAnsi="Arial" w:cs="Arial"/>
          <w:bCs/>
          <w:sz w:val="22"/>
          <w:szCs w:val="22"/>
        </w:rPr>
        <w:t xml:space="preserve">positivas pero </w:t>
      </w:r>
      <w:r w:rsidR="00C06650">
        <w:rPr>
          <w:rFonts w:ascii="Arial" w:eastAsia="Arial" w:hAnsi="Arial" w:cs="Arial"/>
          <w:bCs/>
          <w:sz w:val="22"/>
          <w:szCs w:val="22"/>
        </w:rPr>
        <w:t>prudentes en sus expectativas de creación de empleo el primer trimestre del año</w:t>
      </w:r>
      <w:r w:rsidR="009A1298">
        <w:rPr>
          <w:rFonts w:ascii="Arial" w:eastAsia="Arial" w:hAnsi="Arial" w:cs="Arial"/>
          <w:bCs/>
          <w:sz w:val="22"/>
          <w:szCs w:val="22"/>
        </w:rPr>
        <w:t>,</w:t>
      </w:r>
      <w:r w:rsidR="00C06650">
        <w:rPr>
          <w:rFonts w:ascii="Arial" w:eastAsia="Arial" w:hAnsi="Arial" w:cs="Arial"/>
          <w:bCs/>
          <w:sz w:val="22"/>
          <w:szCs w:val="22"/>
        </w:rPr>
        <w:t xml:space="preserve"> con unas previsiones </w:t>
      </w:r>
      <w:r w:rsidR="009A1298">
        <w:rPr>
          <w:rFonts w:ascii="Arial" w:eastAsia="Arial" w:hAnsi="Arial" w:cs="Arial"/>
          <w:bCs/>
          <w:sz w:val="22"/>
          <w:szCs w:val="22"/>
        </w:rPr>
        <w:t xml:space="preserve">netas </w:t>
      </w:r>
      <w:r w:rsidR="00C06650">
        <w:rPr>
          <w:rFonts w:ascii="Arial" w:eastAsia="Arial" w:hAnsi="Arial" w:cs="Arial"/>
          <w:bCs/>
          <w:sz w:val="22"/>
          <w:szCs w:val="22"/>
        </w:rPr>
        <w:t xml:space="preserve">del 10%, según el último Estudio de Proyección de Empleo de ManpowerGroup. </w:t>
      </w:r>
      <w:r w:rsidR="009A1298">
        <w:rPr>
          <w:rFonts w:ascii="Arial" w:eastAsia="Arial" w:hAnsi="Arial" w:cs="Arial"/>
          <w:bCs/>
          <w:sz w:val="22"/>
          <w:szCs w:val="22"/>
        </w:rPr>
        <w:t>El arranque de año suele ser un periodo más tranquilo para la actividad comercial y el dato coloca al sector 7 puntos por debajo de la media nacional</w:t>
      </w:r>
      <w:r w:rsidR="008B45E4">
        <w:rPr>
          <w:rFonts w:ascii="Arial" w:eastAsia="Arial" w:hAnsi="Arial" w:cs="Arial"/>
          <w:bCs/>
          <w:sz w:val="22"/>
          <w:szCs w:val="22"/>
        </w:rPr>
        <w:t xml:space="preserve"> (17%)</w:t>
      </w:r>
      <w:r w:rsidR="009A1298">
        <w:rPr>
          <w:rFonts w:ascii="Arial" w:eastAsia="Arial" w:hAnsi="Arial" w:cs="Arial"/>
          <w:bCs/>
          <w:sz w:val="22"/>
          <w:szCs w:val="22"/>
        </w:rPr>
        <w:t xml:space="preserve">, tras </w:t>
      </w:r>
      <w:r w:rsidR="00C06650">
        <w:rPr>
          <w:rFonts w:ascii="Arial" w:eastAsia="Arial" w:hAnsi="Arial" w:cs="Arial"/>
          <w:bCs/>
          <w:sz w:val="22"/>
          <w:szCs w:val="22"/>
        </w:rPr>
        <w:t>registra</w:t>
      </w:r>
      <w:r w:rsidR="009A1298">
        <w:rPr>
          <w:rFonts w:ascii="Arial" w:eastAsia="Arial" w:hAnsi="Arial" w:cs="Arial"/>
          <w:bCs/>
          <w:sz w:val="22"/>
          <w:szCs w:val="22"/>
        </w:rPr>
        <w:t>r</w:t>
      </w:r>
      <w:r w:rsidR="00C06650">
        <w:rPr>
          <w:rFonts w:ascii="Arial" w:eastAsia="Arial" w:hAnsi="Arial" w:cs="Arial"/>
          <w:bCs/>
          <w:sz w:val="22"/>
          <w:szCs w:val="22"/>
        </w:rPr>
        <w:t xml:space="preserve"> una caída de 14 puntos respecto a los meses previos, </w:t>
      </w:r>
      <w:r w:rsidR="009A1298">
        <w:rPr>
          <w:rFonts w:ascii="Arial" w:eastAsia="Arial" w:hAnsi="Arial" w:cs="Arial"/>
          <w:bCs/>
          <w:sz w:val="22"/>
          <w:szCs w:val="22"/>
        </w:rPr>
        <w:t xml:space="preserve">aunque </w:t>
      </w:r>
      <w:r w:rsidR="00C06650">
        <w:rPr>
          <w:rFonts w:ascii="Arial" w:eastAsia="Arial" w:hAnsi="Arial" w:cs="Arial"/>
          <w:bCs/>
          <w:sz w:val="22"/>
          <w:szCs w:val="22"/>
        </w:rPr>
        <w:t>mantiene resultados similares a</w:t>
      </w:r>
      <w:r w:rsidR="009A1298">
        <w:rPr>
          <w:rFonts w:ascii="Arial" w:eastAsia="Arial" w:hAnsi="Arial" w:cs="Arial"/>
          <w:bCs/>
          <w:sz w:val="22"/>
          <w:szCs w:val="22"/>
        </w:rPr>
        <w:t xml:space="preserve">l mismo periodo </w:t>
      </w:r>
      <w:r w:rsidR="00C06650">
        <w:rPr>
          <w:rFonts w:ascii="Arial" w:eastAsia="Arial" w:hAnsi="Arial" w:cs="Arial"/>
          <w:bCs/>
          <w:sz w:val="22"/>
          <w:szCs w:val="22"/>
        </w:rPr>
        <w:t xml:space="preserve">del año </w:t>
      </w:r>
      <w:r w:rsidR="009A1298">
        <w:rPr>
          <w:rFonts w:ascii="Arial" w:eastAsia="Arial" w:hAnsi="Arial" w:cs="Arial"/>
          <w:bCs/>
          <w:sz w:val="22"/>
          <w:szCs w:val="22"/>
        </w:rPr>
        <w:t xml:space="preserve">anterior </w:t>
      </w:r>
      <w:r w:rsidR="00C06650">
        <w:rPr>
          <w:rFonts w:ascii="Arial" w:eastAsia="Arial" w:hAnsi="Arial" w:cs="Arial"/>
          <w:bCs/>
          <w:sz w:val="22"/>
          <w:szCs w:val="22"/>
        </w:rPr>
        <w:t xml:space="preserve">perdiendo tan solo </w:t>
      </w:r>
      <w:r w:rsidR="008671D4">
        <w:rPr>
          <w:rFonts w:ascii="Arial" w:eastAsia="Arial" w:hAnsi="Arial" w:cs="Arial"/>
          <w:bCs/>
          <w:sz w:val="22"/>
          <w:szCs w:val="22"/>
        </w:rPr>
        <w:t>1</w:t>
      </w:r>
      <w:r w:rsidR="00C06650">
        <w:rPr>
          <w:rFonts w:ascii="Arial" w:eastAsia="Arial" w:hAnsi="Arial" w:cs="Arial"/>
          <w:bCs/>
          <w:sz w:val="22"/>
          <w:szCs w:val="22"/>
        </w:rPr>
        <w:t xml:space="preserve"> punto.</w:t>
      </w:r>
    </w:p>
    <w:p w14:paraId="58829499" w14:textId="10C50CCD" w:rsidR="00C06650" w:rsidRDefault="009A1298" w:rsidP="003C4899">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previsiones muestran que </w:t>
      </w:r>
      <w:r w:rsidR="00C06650">
        <w:rPr>
          <w:rFonts w:ascii="Arial" w:eastAsia="Arial" w:hAnsi="Arial" w:cs="Arial"/>
          <w:bCs/>
          <w:sz w:val="22"/>
          <w:szCs w:val="22"/>
        </w:rPr>
        <w:t xml:space="preserve">el 28% de las compañías estima que aumentará sus plantillas, </w:t>
      </w:r>
      <w:r w:rsidR="003269EA">
        <w:rPr>
          <w:rFonts w:ascii="Arial" w:eastAsia="Arial" w:hAnsi="Arial" w:cs="Arial"/>
          <w:bCs/>
          <w:sz w:val="22"/>
          <w:szCs w:val="22"/>
        </w:rPr>
        <w:t>casi la mitad (47%) cree que las mantendrá y el 22% prevé reducir equipos.</w:t>
      </w:r>
    </w:p>
    <w:p w14:paraId="6B5788E4" w14:textId="727449CF" w:rsidR="0043179C" w:rsidRDefault="009A1298" w:rsidP="001828BD">
      <w:pPr>
        <w:spacing w:before="120" w:line="288" w:lineRule="auto"/>
        <w:jc w:val="both"/>
        <w:rPr>
          <w:rFonts w:ascii="Arial" w:eastAsia="Arial" w:hAnsi="Arial" w:cs="Arial"/>
          <w:i/>
          <w:iCs/>
          <w:sz w:val="22"/>
          <w:szCs w:val="22"/>
        </w:rPr>
      </w:pPr>
      <w:r w:rsidRPr="009A1298">
        <w:rPr>
          <w:rFonts w:ascii="Arial" w:eastAsia="Arial" w:hAnsi="Arial" w:cs="Arial"/>
          <w:b/>
          <w:bCs/>
          <w:sz w:val="22"/>
          <w:szCs w:val="22"/>
        </w:rPr>
        <w:t>Yaiza Marrero, directora corporativa Gran Consumo y Comercio en ManpowerGroup</w:t>
      </w:r>
      <w:r>
        <w:rPr>
          <w:rFonts w:ascii="Arial" w:eastAsia="Arial" w:hAnsi="Arial" w:cs="Arial"/>
          <w:b/>
          <w:bCs/>
          <w:sz w:val="22"/>
          <w:szCs w:val="22"/>
        </w:rPr>
        <w:t xml:space="preserve"> </w:t>
      </w:r>
      <w:r w:rsidR="0093479E">
        <w:rPr>
          <w:rFonts w:ascii="Arial" w:eastAsia="Arial" w:hAnsi="Arial" w:cs="Arial"/>
          <w:sz w:val="22"/>
          <w:szCs w:val="22"/>
        </w:rPr>
        <w:t>afirma que</w:t>
      </w:r>
      <w:r w:rsidR="00A26E50" w:rsidRPr="00A26E50">
        <w:rPr>
          <w:rFonts w:ascii="Arial" w:eastAsia="Arial" w:hAnsi="Arial" w:cs="Arial"/>
          <w:sz w:val="22"/>
          <w:szCs w:val="22"/>
        </w:rPr>
        <w:t xml:space="preserve"> “</w:t>
      </w:r>
      <w:r w:rsidR="0093479E">
        <w:rPr>
          <w:rFonts w:ascii="Arial" w:eastAsia="Arial" w:hAnsi="Arial" w:cs="Arial"/>
          <w:i/>
          <w:iCs/>
          <w:sz w:val="22"/>
          <w:szCs w:val="22"/>
        </w:rPr>
        <w:t xml:space="preserve">las previsiones del sector muestran un panorama </w:t>
      </w:r>
      <w:r w:rsidR="00AC2022">
        <w:rPr>
          <w:rFonts w:ascii="Arial" w:eastAsia="Arial" w:hAnsi="Arial" w:cs="Arial"/>
          <w:i/>
          <w:iCs/>
          <w:sz w:val="22"/>
          <w:szCs w:val="22"/>
        </w:rPr>
        <w:t>positivo</w:t>
      </w:r>
      <w:r w:rsidR="0093479E">
        <w:rPr>
          <w:rFonts w:ascii="Arial" w:eastAsia="Arial" w:hAnsi="Arial" w:cs="Arial"/>
          <w:i/>
          <w:iCs/>
          <w:sz w:val="22"/>
          <w:szCs w:val="22"/>
        </w:rPr>
        <w:t xml:space="preserve">. </w:t>
      </w:r>
      <w:r w:rsidR="008B45E4">
        <w:rPr>
          <w:rFonts w:ascii="Arial" w:eastAsia="Arial" w:hAnsi="Arial" w:cs="Arial"/>
          <w:i/>
          <w:iCs/>
          <w:sz w:val="22"/>
          <w:szCs w:val="22"/>
        </w:rPr>
        <w:t xml:space="preserve">Tradicionalmente, </w:t>
      </w:r>
      <w:r>
        <w:rPr>
          <w:rFonts w:ascii="Arial" w:eastAsia="Arial" w:hAnsi="Arial" w:cs="Arial"/>
          <w:i/>
          <w:iCs/>
          <w:sz w:val="22"/>
          <w:szCs w:val="22"/>
        </w:rPr>
        <w:t xml:space="preserve">tras la campaña de </w:t>
      </w:r>
      <w:r w:rsidR="00670B5E">
        <w:rPr>
          <w:rFonts w:ascii="Arial" w:eastAsia="Arial" w:hAnsi="Arial" w:cs="Arial"/>
          <w:i/>
          <w:iCs/>
          <w:sz w:val="22"/>
          <w:szCs w:val="22"/>
        </w:rPr>
        <w:t>N</w:t>
      </w:r>
      <w:r>
        <w:rPr>
          <w:rFonts w:ascii="Arial" w:eastAsia="Arial" w:hAnsi="Arial" w:cs="Arial"/>
          <w:i/>
          <w:iCs/>
          <w:sz w:val="22"/>
          <w:szCs w:val="22"/>
        </w:rPr>
        <w:t>avidad se frena un tanto la actividad, p</w:t>
      </w:r>
      <w:r w:rsidR="00605AEF">
        <w:rPr>
          <w:rFonts w:ascii="Arial" w:eastAsia="Arial" w:hAnsi="Arial" w:cs="Arial"/>
          <w:i/>
          <w:iCs/>
          <w:sz w:val="22"/>
          <w:szCs w:val="22"/>
        </w:rPr>
        <w:t xml:space="preserve">ero </w:t>
      </w:r>
      <w:r w:rsidR="00AC2022">
        <w:rPr>
          <w:rFonts w:ascii="Arial" w:eastAsia="Arial" w:hAnsi="Arial" w:cs="Arial"/>
          <w:i/>
          <w:iCs/>
          <w:sz w:val="22"/>
          <w:szCs w:val="22"/>
        </w:rPr>
        <w:t xml:space="preserve">las empresas siguen manteniendo intenciones de contratar. No obstante, </w:t>
      </w:r>
      <w:r w:rsidR="008B45E4">
        <w:rPr>
          <w:rFonts w:ascii="Arial" w:eastAsia="Arial" w:hAnsi="Arial" w:cs="Arial"/>
          <w:i/>
          <w:iCs/>
          <w:sz w:val="22"/>
          <w:szCs w:val="22"/>
        </w:rPr>
        <w:t xml:space="preserve">el sector mantiene importantes </w:t>
      </w:r>
      <w:r w:rsidR="0093479E">
        <w:rPr>
          <w:rFonts w:ascii="Arial" w:eastAsia="Arial" w:hAnsi="Arial" w:cs="Arial"/>
          <w:i/>
          <w:iCs/>
          <w:sz w:val="22"/>
          <w:szCs w:val="22"/>
        </w:rPr>
        <w:t xml:space="preserve">retos en </w:t>
      </w:r>
      <w:r w:rsidR="008B45E4">
        <w:rPr>
          <w:rFonts w:ascii="Arial" w:eastAsia="Arial" w:hAnsi="Arial" w:cs="Arial"/>
          <w:i/>
          <w:iCs/>
          <w:sz w:val="22"/>
          <w:szCs w:val="22"/>
        </w:rPr>
        <w:t xml:space="preserve">el ámbito del talento como </w:t>
      </w:r>
      <w:r w:rsidR="0093479E">
        <w:rPr>
          <w:rFonts w:ascii="Arial" w:eastAsia="Arial" w:hAnsi="Arial" w:cs="Arial"/>
          <w:i/>
          <w:iCs/>
          <w:sz w:val="22"/>
          <w:szCs w:val="22"/>
        </w:rPr>
        <w:t xml:space="preserve">la búsqueda de </w:t>
      </w:r>
      <w:r w:rsidR="008B45E4">
        <w:rPr>
          <w:rFonts w:ascii="Arial" w:eastAsia="Arial" w:hAnsi="Arial" w:cs="Arial"/>
          <w:i/>
          <w:iCs/>
          <w:sz w:val="22"/>
          <w:szCs w:val="22"/>
        </w:rPr>
        <w:t xml:space="preserve">perfiles </w:t>
      </w:r>
      <w:r w:rsidR="0093479E">
        <w:rPr>
          <w:rFonts w:ascii="Arial" w:eastAsia="Arial" w:hAnsi="Arial" w:cs="Arial"/>
          <w:i/>
          <w:iCs/>
          <w:sz w:val="22"/>
          <w:szCs w:val="22"/>
        </w:rPr>
        <w:t>especializado</w:t>
      </w:r>
      <w:r w:rsidR="008B45E4">
        <w:rPr>
          <w:rFonts w:ascii="Arial" w:eastAsia="Arial" w:hAnsi="Arial" w:cs="Arial"/>
          <w:i/>
          <w:iCs/>
          <w:sz w:val="22"/>
          <w:szCs w:val="22"/>
        </w:rPr>
        <w:t>s</w:t>
      </w:r>
      <w:r w:rsidR="0093479E">
        <w:rPr>
          <w:rFonts w:ascii="Arial" w:eastAsia="Arial" w:hAnsi="Arial" w:cs="Arial"/>
          <w:i/>
          <w:iCs/>
          <w:sz w:val="22"/>
          <w:szCs w:val="22"/>
        </w:rPr>
        <w:t>,</w:t>
      </w:r>
      <w:r w:rsidR="008B45E4">
        <w:rPr>
          <w:rFonts w:ascii="Arial" w:eastAsia="Arial" w:hAnsi="Arial" w:cs="Arial"/>
          <w:i/>
          <w:iCs/>
          <w:sz w:val="22"/>
          <w:szCs w:val="22"/>
        </w:rPr>
        <w:t xml:space="preserve"> </w:t>
      </w:r>
      <w:r w:rsidR="0093479E">
        <w:rPr>
          <w:rFonts w:ascii="Arial" w:eastAsia="Arial" w:hAnsi="Arial" w:cs="Arial"/>
          <w:i/>
          <w:iCs/>
          <w:sz w:val="22"/>
          <w:szCs w:val="22"/>
        </w:rPr>
        <w:t xml:space="preserve">la </w:t>
      </w:r>
      <w:r w:rsidR="008B45E4">
        <w:rPr>
          <w:rFonts w:ascii="Arial" w:eastAsia="Arial" w:hAnsi="Arial" w:cs="Arial"/>
          <w:i/>
          <w:iCs/>
          <w:sz w:val="22"/>
          <w:szCs w:val="22"/>
        </w:rPr>
        <w:t xml:space="preserve">creciente transformación </w:t>
      </w:r>
      <w:r w:rsidR="0093479E">
        <w:rPr>
          <w:rFonts w:ascii="Arial" w:eastAsia="Arial" w:hAnsi="Arial" w:cs="Arial"/>
          <w:i/>
          <w:iCs/>
          <w:sz w:val="22"/>
          <w:szCs w:val="22"/>
        </w:rPr>
        <w:t xml:space="preserve">digital </w:t>
      </w:r>
      <w:r w:rsidR="008B45E4">
        <w:rPr>
          <w:rFonts w:ascii="Arial" w:eastAsia="Arial" w:hAnsi="Arial" w:cs="Arial"/>
          <w:i/>
          <w:iCs/>
          <w:sz w:val="22"/>
          <w:szCs w:val="22"/>
        </w:rPr>
        <w:t>o</w:t>
      </w:r>
      <w:r w:rsidR="0093479E">
        <w:rPr>
          <w:rFonts w:ascii="Arial" w:eastAsia="Arial" w:hAnsi="Arial" w:cs="Arial"/>
          <w:i/>
          <w:iCs/>
          <w:sz w:val="22"/>
          <w:szCs w:val="22"/>
        </w:rPr>
        <w:t xml:space="preserve"> la importancia del e-commerce. </w:t>
      </w:r>
      <w:r w:rsidR="008B45E4">
        <w:rPr>
          <w:rFonts w:ascii="Arial" w:eastAsia="Arial" w:hAnsi="Arial" w:cs="Arial"/>
          <w:i/>
          <w:iCs/>
          <w:sz w:val="22"/>
          <w:szCs w:val="22"/>
        </w:rPr>
        <w:t>Para aprovechar al máximo este potencial de crecimiento e</w:t>
      </w:r>
      <w:r w:rsidR="0093479E">
        <w:rPr>
          <w:rFonts w:ascii="Arial" w:eastAsia="Arial" w:hAnsi="Arial" w:cs="Arial"/>
          <w:i/>
          <w:iCs/>
          <w:sz w:val="22"/>
          <w:szCs w:val="22"/>
        </w:rPr>
        <w:t xml:space="preserve">s crucial que las empresas se </w:t>
      </w:r>
      <w:r w:rsidR="008B45E4">
        <w:rPr>
          <w:rFonts w:ascii="Arial" w:eastAsia="Arial" w:hAnsi="Arial" w:cs="Arial"/>
          <w:i/>
          <w:iCs/>
          <w:sz w:val="22"/>
          <w:szCs w:val="22"/>
        </w:rPr>
        <w:t xml:space="preserve">articulen </w:t>
      </w:r>
      <w:r w:rsidR="0093479E">
        <w:rPr>
          <w:rFonts w:ascii="Arial" w:eastAsia="Arial" w:hAnsi="Arial" w:cs="Arial"/>
          <w:i/>
          <w:iCs/>
          <w:sz w:val="22"/>
          <w:szCs w:val="22"/>
        </w:rPr>
        <w:t xml:space="preserve">estrategias </w:t>
      </w:r>
      <w:r w:rsidR="008B45E4">
        <w:rPr>
          <w:rFonts w:ascii="Arial" w:eastAsia="Arial" w:hAnsi="Arial" w:cs="Arial"/>
          <w:i/>
          <w:iCs/>
          <w:sz w:val="22"/>
          <w:szCs w:val="22"/>
        </w:rPr>
        <w:t xml:space="preserve">que les permitan atraer y fidelizar el </w:t>
      </w:r>
      <w:r w:rsidR="0093479E">
        <w:rPr>
          <w:rFonts w:ascii="Arial" w:eastAsia="Arial" w:hAnsi="Arial" w:cs="Arial"/>
          <w:i/>
          <w:iCs/>
          <w:sz w:val="22"/>
          <w:szCs w:val="22"/>
        </w:rPr>
        <w:t>talento</w:t>
      </w:r>
      <w:r w:rsidR="008B45E4">
        <w:rPr>
          <w:rFonts w:ascii="Arial" w:eastAsia="Arial" w:hAnsi="Arial" w:cs="Arial"/>
          <w:i/>
          <w:iCs/>
          <w:sz w:val="22"/>
          <w:szCs w:val="22"/>
        </w:rPr>
        <w:t xml:space="preserve"> y, a la vez, les doten de la flexibilidad necesaria para afrontar una demanda cambiante</w:t>
      </w:r>
      <w:r w:rsidR="00A26E50" w:rsidRPr="0093479E">
        <w:rPr>
          <w:rFonts w:ascii="Arial" w:eastAsia="Arial" w:hAnsi="Arial" w:cs="Arial"/>
          <w:i/>
          <w:iCs/>
          <w:sz w:val="22"/>
          <w:szCs w:val="22"/>
        </w:rPr>
        <w:t>”.</w:t>
      </w:r>
    </w:p>
    <w:p w14:paraId="236595A8" w14:textId="66CB2FC1" w:rsidR="00AC2022" w:rsidRDefault="00AC2022">
      <w:pPr>
        <w:spacing w:after="160" w:line="259" w:lineRule="auto"/>
        <w:rPr>
          <w:rFonts w:ascii="Arial" w:eastAsia="Arial" w:hAnsi="Arial" w:cs="Arial"/>
          <w:b/>
          <w:bCs/>
          <w:sz w:val="22"/>
          <w:szCs w:val="22"/>
        </w:rPr>
      </w:pPr>
      <w:bookmarkStart w:id="5" w:name="_Hlk184914123"/>
      <w:r>
        <w:rPr>
          <w:rFonts w:ascii="Arial" w:eastAsia="Arial" w:hAnsi="Arial" w:cs="Arial"/>
          <w:b/>
          <w:bCs/>
          <w:sz w:val="22"/>
          <w:szCs w:val="22"/>
        </w:rPr>
        <w:br w:type="page"/>
      </w:r>
    </w:p>
    <w:p w14:paraId="67A15D0F" w14:textId="3332E33A" w:rsidR="0013008D" w:rsidRPr="009D4CEF" w:rsidRDefault="0013008D" w:rsidP="0067332C">
      <w:pPr>
        <w:spacing w:before="120" w:line="288" w:lineRule="auto"/>
        <w:jc w:val="both"/>
        <w:rPr>
          <w:rFonts w:ascii="Arial" w:eastAsia="Arial" w:hAnsi="Arial" w:cs="Arial"/>
          <w:b/>
          <w:bCs/>
          <w:sz w:val="22"/>
          <w:szCs w:val="22"/>
        </w:rPr>
      </w:pPr>
      <w:r>
        <w:rPr>
          <w:rFonts w:ascii="Arial" w:eastAsia="Arial" w:hAnsi="Arial" w:cs="Arial"/>
          <w:b/>
          <w:bCs/>
          <w:sz w:val="22"/>
          <w:szCs w:val="22"/>
        </w:rPr>
        <w:lastRenderedPageBreak/>
        <w:t>Tecnología</w:t>
      </w:r>
      <w:r w:rsidR="00E67A01">
        <w:rPr>
          <w:rFonts w:ascii="Arial" w:eastAsia="Arial" w:hAnsi="Arial" w:cs="Arial"/>
          <w:b/>
          <w:bCs/>
          <w:sz w:val="22"/>
          <w:szCs w:val="22"/>
        </w:rPr>
        <w:t xml:space="preserve"> encabeza las </w:t>
      </w:r>
      <w:r>
        <w:rPr>
          <w:rFonts w:ascii="Arial" w:eastAsia="Arial" w:hAnsi="Arial" w:cs="Arial"/>
          <w:b/>
          <w:bCs/>
          <w:sz w:val="22"/>
          <w:szCs w:val="22"/>
        </w:rPr>
        <w:t>previsiones de generación de empleo</w:t>
      </w:r>
      <w:r w:rsidR="00E67A01">
        <w:rPr>
          <w:rFonts w:ascii="Arial" w:eastAsia="Arial" w:hAnsi="Arial" w:cs="Arial"/>
          <w:b/>
          <w:bCs/>
          <w:sz w:val="22"/>
          <w:szCs w:val="22"/>
        </w:rPr>
        <w:t xml:space="preserve"> en España</w:t>
      </w:r>
    </w:p>
    <w:bookmarkEnd w:id="5"/>
    <w:p w14:paraId="5EA01103" w14:textId="78DA9B7F" w:rsidR="0013008D" w:rsidRDefault="00F82ABD" w:rsidP="00555D20">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Las empresas </w:t>
      </w:r>
      <w:r w:rsidR="009C5491">
        <w:rPr>
          <w:rFonts w:ascii="Arial" w:eastAsia="Arial" w:hAnsi="Arial" w:cs="Arial"/>
          <w:bCs/>
          <w:sz w:val="22"/>
          <w:szCs w:val="22"/>
        </w:rPr>
        <w:t xml:space="preserve">de </w:t>
      </w:r>
      <w:r w:rsidR="009C5491" w:rsidRPr="009C5491">
        <w:rPr>
          <w:rFonts w:ascii="Arial" w:eastAsia="Arial" w:hAnsi="Arial" w:cs="Arial"/>
          <w:b/>
          <w:sz w:val="22"/>
          <w:szCs w:val="22"/>
        </w:rPr>
        <w:t>Tecnología</w:t>
      </w:r>
      <w:r>
        <w:rPr>
          <w:rFonts w:ascii="Arial" w:eastAsia="Arial" w:hAnsi="Arial" w:cs="Arial"/>
          <w:bCs/>
          <w:sz w:val="22"/>
          <w:szCs w:val="22"/>
        </w:rPr>
        <w:t xml:space="preserve"> inician el año como las más optimistas con unas previsiones netas de generación de empleo del 27%, 10 puntos por encima de la media nacional.</w:t>
      </w:r>
    </w:p>
    <w:p w14:paraId="7DE05AAD" w14:textId="4080B113" w:rsidR="00E67A01" w:rsidRDefault="00E67A01" w:rsidP="00555D20">
      <w:pPr>
        <w:spacing w:before="120" w:line="288" w:lineRule="auto"/>
        <w:jc w:val="both"/>
        <w:rPr>
          <w:rFonts w:ascii="Arial" w:eastAsia="Arial" w:hAnsi="Arial" w:cs="Arial"/>
          <w:bCs/>
          <w:sz w:val="22"/>
          <w:szCs w:val="22"/>
        </w:rPr>
      </w:pPr>
      <w:r>
        <w:rPr>
          <w:rFonts w:ascii="Arial" w:eastAsia="Arial" w:hAnsi="Arial" w:cs="Arial"/>
          <w:bCs/>
          <w:sz w:val="22"/>
          <w:szCs w:val="22"/>
        </w:rPr>
        <w:t>Por su parte, en segunda posición del ranki</w:t>
      </w:r>
      <w:r w:rsidR="003C4899">
        <w:rPr>
          <w:rFonts w:ascii="Arial" w:eastAsia="Arial" w:hAnsi="Arial" w:cs="Arial"/>
          <w:bCs/>
          <w:sz w:val="22"/>
          <w:szCs w:val="22"/>
        </w:rPr>
        <w:t>n</w:t>
      </w:r>
      <w:r>
        <w:rPr>
          <w:rFonts w:ascii="Arial" w:eastAsia="Arial" w:hAnsi="Arial" w:cs="Arial"/>
          <w:bCs/>
          <w:sz w:val="22"/>
          <w:szCs w:val="22"/>
        </w:rPr>
        <w:t xml:space="preserve">g se encuentran, ambos con un 20% de perspectivas de generación de empleo, </w:t>
      </w:r>
      <w:r w:rsidRPr="003C4899">
        <w:rPr>
          <w:rFonts w:ascii="Arial" w:eastAsia="Arial" w:hAnsi="Arial" w:cs="Arial"/>
          <w:b/>
          <w:sz w:val="22"/>
          <w:szCs w:val="22"/>
        </w:rPr>
        <w:t xml:space="preserve">Transporte, logística y </w:t>
      </w:r>
      <w:r w:rsidR="003C4899" w:rsidRPr="003C4899">
        <w:rPr>
          <w:rFonts w:ascii="Arial" w:eastAsia="Arial" w:hAnsi="Arial" w:cs="Arial"/>
          <w:b/>
          <w:sz w:val="22"/>
          <w:szCs w:val="22"/>
        </w:rPr>
        <w:t>automación</w:t>
      </w:r>
      <w:r>
        <w:rPr>
          <w:rFonts w:ascii="Arial" w:eastAsia="Arial" w:hAnsi="Arial" w:cs="Arial"/>
          <w:bCs/>
          <w:sz w:val="22"/>
          <w:szCs w:val="22"/>
        </w:rPr>
        <w:t xml:space="preserve">, que el trimestre anterior registraba 11 puntos menos; y </w:t>
      </w:r>
      <w:r w:rsidRPr="003C4899">
        <w:rPr>
          <w:rFonts w:ascii="Arial" w:eastAsia="Arial" w:hAnsi="Arial" w:cs="Arial"/>
          <w:b/>
          <w:sz w:val="22"/>
          <w:szCs w:val="22"/>
        </w:rPr>
        <w:t>Publicidad y comunicación</w:t>
      </w:r>
      <w:r>
        <w:rPr>
          <w:rFonts w:ascii="Arial" w:eastAsia="Arial" w:hAnsi="Arial" w:cs="Arial"/>
          <w:bCs/>
          <w:sz w:val="22"/>
          <w:szCs w:val="22"/>
        </w:rPr>
        <w:t xml:space="preserve">, que revierte la tendencia negativa de los últimos trimestres y remonta con un notable incremento de 25 puntos. </w:t>
      </w:r>
    </w:p>
    <w:p w14:paraId="6B941E99" w14:textId="54EA7689" w:rsidR="003269EA" w:rsidRDefault="003269EA" w:rsidP="00555D20">
      <w:pPr>
        <w:spacing w:before="120" w:line="288" w:lineRule="auto"/>
        <w:jc w:val="both"/>
        <w:rPr>
          <w:rFonts w:ascii="Arial" w:eastAsia="Arial" w:hAnsi="Arial" w:cs="Arial"/>
          <w:bCs/>
          <w:sz w:val="22"/>
          <w:szCs w:val="22"/>
        </w:rPr>
      </w:pPr>
      <w:r>
        <w:rPr>
          <w:rFonts w:ascii="Arial" w:eastAsia="Arial" w:hAnsi="Arial" w:cs="Arial"/>
          <w:bCs/>
          <w:sz w:val="22"/>
          <w:szCs w:val="22"/>
        </w:rPr>
        <w:t xml:space="preserve">Les siguen de cerca las empresas del ámbito </w:t>
      </w:r>
      <w:r w:rsidRPr="0006279A">
        <w:rPr>
          <w:rFonts w:ascii="Arial" w:eastAsia="Arial" w:hAnsi="Arial" w:cs="Arial"/>
          <w:b/>
          <w:sz w:val="22"/>
          <w:szCs w:val="22"/>
        </w:rPr>
        <w:t>Financiero e inmobiliario</w:t>
      </w:r>
      <w:r>
        <w:rPr>
          <w:rFonts w:ascii="Arial" w:eastAsia="Arial" w:hAnsi="Arial" w:cs="Arial"/>
          <w:bCs/>
          <w:sz w:val="22"/>
          <w:szCs w:val="22"/>
        </w:rPr>
        <w:t xml:space="preserve">, con unas previsiones del 18%; y </w:t>
      </w:r>
      <w:r w:rsidRPr="0006279A">
        <w:rPr>
          <w:rFonts w:ascii="Arial" w:eastAsia="Arial" w:hAnsi="Arial" w:cs="Arial"/>
          <w:b/>
          <w:sz w:val="22"/>
          <w:szCs w:val="22"/>
        </w:rPr>
        <w:t>Salud y farmacia</w:t>
      </w:r>
      <w:r>
        <w:rPr>
          <w:rFonts w:ascii="Arial" w:eastAsia="Arial" w:hAnsi="Arial" w:cs="Arial"/>
          <w:bCs/>
          <w:sz w:val="22"/>
          <w:szCs w:val="22"/>
        </w:rPr>
        <w:t xml:space="preserve"> con un 17%.</w:t>
      </w:r>
    </w:p>
    <w:p w14:paraId="203EB0A0" w14:textId="1E76B0A5" w:rsidR="00E87B2B" w:rsidRDefault="00E87B2B" w:rsidP="00E87B2B">
      <w:pPr>
        <w:spacing w:before="120" w:line="288" w:lineRule="auto"/>
        <w:jc w:val="both"/>
        <w:rPr>
          <w:rFonts w:ascii="Arial" w:eastAsia="Arial" w:hAnsi="Arial" w:cs="Arial"/>
          <w:bCs/>
          <w:sz w:val="22"/>
          <w:szCs w:val="22"/>
        </w:rPr>
      </w:pPr>
      <w:r>
        <w:rPr>
          <w:rFonts w:ascii="Arial" w:eastAsia="Arial" w:hAnsi="Arial" w:cs="Arial"/>
          <w:bCs/>
          <w:sz w:val="22"/>
          <w:szCs w:val="22"/>
        </w:rPr>
        <w:t>En el lado opuesto de la lista, a pesar de que en el inicio del año no se observa ning</w:t>
      </w:r>
      <w:r w:rsidR="008B45E4">
        <w:rPr>
          <w:rFonts w:ascii="Arial" w:eastAsia="Arial" w:hAnsi="Arial" w:cs="Arial"/>
          <w:bCs/>
          <w:sz w:val="22"/>
          <w:szCs w:val="22"/>
        </w:rPr>
        <w:t>ún sector con</w:t>
      </w:r>
      <w:r>
        <w:rPr>
          <w:rFonts w:ascii="Arial" w:eastAsia="Arial" w:hAnsi="Arial" w:cs="Arial"/>
          <w:bCs/>
          <w:sz w:val="22"/>
          <w:szCs w:val="22"/>
        </w:rPr>
        <w:t xml:space="preserve"> previsi</w:t>
      </w:r>
      <w:r w:rsidR="008B45E4">
        <w:rPr>
          <w:rFonts w:ascii="Arial" w:eastAsia="Arial" w:hAnsi="Arial" w:cs="Arial"/>
          <w:bCs/>
          <w:sz w:val="22"/>
          <w:szCs w:val="22"/>
        </w:rPr>
        <w:t>ones</w:t>
      </w:r>
      <w:r>
        <w:rPr>
          <w:rFonts w:ascii="Arial" w:eastAsia="Arial" w:hAnsi="Arial" w:cs="Arial"/>
          <w:bCs/>
          <w:sz w:val="22"/>
          <w:szCs w:val="22"/>
        </w:rPr>
        <w:t xml:space="preserve"> negativa</w:t>
      </w:r>
      <w:r w:rsidR="008B45E4">
        <w:rPr>
          <w:rFonts w:ascii="Arial" w:eastAsia="Arial" w:hAnsi="Arial" w:cs="Arial"/>
          <w:bCs/>
          <w:sz w:val="22"/>
          <w:szCs w:val="22"/>
        </w:rPr>
        <w:t>s</w:t>
      </w:r>
      <w:r>
        <w:rPr>
          <w:rFonts w:ascii="Arial" w:eastAsia="Arial" w:hAnsi="Arial" w:cs="Arial"/>
          <w:bCs/>
          <w:sz w:val="22"/>
          <w:szCs w:val="22"/>
        </w:rPr>
        <w:t>,</w:t>
      </w:r>
      <w:r w:rsidR="008B45E4">
        <w:rPr>
          <w:rFonts w:ascii="Arial" w:eastAsia="Arial" w:hAnsi="Arial" w:cs="Arial"/>
          <w:bCs/>
          <w:sz w:val="22"/>
          <w:szCs w:val="22"/>
        </w:rPr>
        <w:t xml:space="preserve"> las empresas de</w:t>
      </w:r>
      <w:r>
        <w:rPr>
          <w:rFonts w:ascii="Arial" w:eastAsia="Arial" w:hAnsi="Arial" w:cs="Arial"/>
          <w:bCs/>
          <w:sz w:val="22"/>
          <w:szCs w:val="22"/>
        </w:rPr>
        <w:t xml:space="preserve"> </w:t>
      </w:r>
      <w:r w:rsidRPr="000E662A">
        <w:rPr>
          <w:rFonts w:ascii="Arial" w:eastAsia="Arial" w:hAnsi="Arial" w:cs="Arial"/>
          <w:b/>
          <w:sz w:val="22"/>
          <w:szCs w:val="22"/>
        </w:rPr>
        <w:t>Energía y suministros</w:t>
      </w:r>
      <w:r>
        <w:rPr>
          <w:rFonts w:ascii="Arial" w:eastAsia="Arial" w:hAnsi="Arial" w:cs="Arial"/>
          <w:bCs/>
          <w:sz w:val="22"/>
          <w:szCs w:val="22"/>
        </w:rPr>
        <w:t xml:space="preserve"> se posiciona</w:t>
      </w:r>
      <w:r w:rsidR="008B45E4">
        <w:rPr>
          <w:rFonts w:ascii="Arial" w:eastAsia="Arial" w:hAnsi="Arial" w:cs="Arial"/>
          <w:bCs/>
          <w:sz w:val="22"/>
          <w:szCs w:val="22"/>
        </w:rPr>
        <w:t xml:space="preserve">n como las más prudentes </w:t>
      </w:r>
      <w:r>
        <w:rPr>
          <w:rFonts w:ascii="Arial" w:eastAsia="Arial" w:hAnsi="Arial" w:cs="Arial"/>
          <w:bCs/>
          <w:sz w:val="22"/>
          <w:szCs w:val="22"/>
        </w:rPr>
        <w:t>con un 2% de intención de contratación</w:t>
      </w:r>
      <w:r w:rsidR="008B45E4">
        <w:rPr>
          <w:rFonts w:ascii="Arial" w:eastAsia="Arial" w:hAnsi="Arial" w:cs="Arial"/>
          <w:bCs/>
          <w:sz w:val="22"/>
          <w:szCs w:val="22"/>
        </w:rPr>
        <w:t>,</w:t>
      </w:r>
      <w:r w:rsidR="008B45E4" w:rsidRPr="008B45E4">
        <w:rPr>
          <w:rFonts w:ascii="Arial" w:eastAsia="Arial" w:hAnsi="Arial" w:cs="Arial"/>
          <w:bCs/>
          <w:sz w:val="22"/>
          <w:szCs w:val="22"/>
        </w:rPr>
        <w:t xml:space="preserve"> </w:t>
      </w:r>
      <w:r w:rsidR="008B45E4">
        <w:rPr>
          <w:rFonts w:ascii="Arial" w:eastAsia="Arial" w:hAnsi="Arial" w:cs="Arial"/>
          <w:bCs/>
          <w:sz w:val="22"/>
          <w:szCs w:val="22"/>
        </w:rPr>
        <w:t>tras registrar un descenso de 22 puntos respecto al último trimestre de 2024</w:t>
      </w:r>
      <w:r>
        <w:rPr>
          <w:rFonts w:ascii="Arial" w:eastAsia="Arial" w:hAnsi="Arial" w:cs="Arial"/>
          <w:bCs/>
          <w:sz w:val="22"/>
          <w:szCs w:val="22"/>
        </w:rPr>
        <w:t>.</w:t>
      </w:r>
    </w:p>
    <w:p w14:paraId="2D8D120F" w14:textId="17FAA40A" w:rsidR="00830B2F" w:rsidRDefault="00830B2F" w:rsidP="00E87B2B">
      <w:pPr>
        <w:spacing w:before="120" w:line="288" w:lineRule="auto"/>
        <w:jc w:val="center"/>
        <w:rPr>
          <w:rFonts w:ascii="Arial" w:eastAsia="Arial" w:hAnsi="Arial" w:cs="Arial"/>
          <w:bCs/>
          <w:sz w:val="22"/>
          <w:szCs w:val="22"/>
        </w:rPr>
      </w:pPr>
      <w:r w:rsidRPr="00911D5D">
        <w:rPr>
          <w:rFonts w:ascii="Arial" w:eastAsiaTheme="minorEastAsia" w:hAnsi="Arial" w:cs="Arial"/>
          <w:b/>
          <w:bCs/>
          <w:i/>
          <w:iCs/>
          <w:noProof/>
          <w:sz w:val="18"/>
          <w:szCs w:val="18"/>
          <w:lang w:eastAsia="zh-CN"/>
        </w:rPr>
        <w:drawing>
          <wp:inline distT="0" distB="0" distL="0" distR="0" wp14:anchorId="0573DE44" wp14:editId="7266762A">
            <wp:extent cx="5706114" cy="2011680"/>
            <wp:effectExtent l="0" t="0" r="8890" b="7620"/>
            <wp:docPr id="13404126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2689"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709453" cy="2012857"/>
                    </a:xfrm>
                    <a:prstGeom prst="rect">
                      <a:avLst/>
                    </a:prstGeom>
                  </pic:spPr>
                </pic:pic>
              </a:graphicData>
            </a:graphic>
          </wp:inline>
        </w:drawing>
      </w:r>
    </w:p>
    <w:p w14:paraId="4628732B" w14:textId="1EF8E195" w:rsidR="00830B2F" w:rsidRDefault="00830B2F" w:rsidP="001828BD">
      <w:pPr>
        <w:spacing w:before="120" w:line="288" w:lineRule="auto"/>
        <w:jc w:val="right"/>
        <w:rPr>
          <w:rFonts w:ascii="Arial" w:eastAsia="Arial" w:hAnsi="Arial" w:cs="Arial"/>
          <w:sz w:val="22"/>
          <w:szCs w:val="22"/>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en España</w:t>
      </w:r>
    </w:p>
    <w:p w14:paraId="0CA634D4" w14:textId="1710BE7D" w:rsidR="00830B2F" w:rsidRDefault="00830B2F" w:rsidP="001828BD">
      <w:pPr>
        <w:spacing w:before="120" w:line="288" w:lineRule="auto"/>
        <w:jc w:val="both"/>
        <w:rPr>
          <w:rFonts w:ascii="Arial" w:eastAsia="Arial" w:hAnsi="Arial" w:cs="Arial"/>
          <w:bCs/>
          <w:sz w:val="22"/>
          <w:szCs w:val="22"/>
        </w:rPr>
      </w:pPr>
    </w:p>
    <w:p w14:paraId="2719C7E4" w14:textId="4A74338E" w:rsidR="00F73932" w:rsidRDefault="008B45E4" w:rsidP="001828BD">
      <w:pPr>
        <w:spacing w:before="120" w:line="288" w:lineRule="auto"/>
        <w:jc w:val="both"/>
        <w:rPr>
          <w:rFonts w:ascii="Arial" w:eastAsia="Arial" w:hAnsi="Arial" w:cs="Arial"/>
          <w:b/>
          <w:bCs/>
          <w:sz w:val="22"/>
          <w:szCs w:val="22"/>
        </w:rPr>
      </w:pPr>
      <w:bookmarkStart w:id="6" w:name="_Hlk184914146"/>
      <w:r>
        <w:rPr>
          <w:rFonts w:ascii="Arial" w:eastAsia="Arial" w:hAnsi="Arial" w:cs="Arial"/>
          <w:b/>
          <w:bCs/>
          <w:sz w:val="22"/>
          <w:szCs w:val="22"/>
        </w:rPr>
        <w:t xml:space="preserve">A nivel global, </w:t>
      </w:r>
      <w:bookmarkStart w:id="7" w:name="_Hlk184975068"/>
      <w:r>
        <w:rPr>
          <w:rFonts w:ascii="Arial" w:eastAsia="Arial" w:hAnsi="Arial" w:cs="Arial"/>
          <w:b/>
          <w:bCs/>
          <w:sz w:val="22"/>
          <w:szCs w:val="22"/>
        </w:rPr>
        <w:t>Bienes y servicios de consumo también entre los más prudentes</w:t>
      </w:r>
    </w:p>
    <w:p w14:paraId="5C8D3744" w14:textId="34F14612" w:rsidR="00BC0EE7" w:rsidRDefault="00BC0EE7" w:rsidP="001828BD">
      <w:pPr>
        <w:spacing w:before="120" w:line="288" w:lineRule="auto"/>
        <w:jc w:val="both"/>
        <w:rPr>
          <w:rFonts w:ascii="Arial" w:eastAsia="Arial" w:hAnsi="Arial" w:cs="Arial"/>
          <w:sz w:val="22"/>
          <w:szCs w:val="22"/>
        </w:rPr>
      </w:pPr>
      <w:bookmarkStart w:id="8" w:name="_Hlk177492645"/>
      <w:bookmarkEnd w:id="6"/>
      <w:bookmarkEnd w:id="7"/>
      <w:r>
        <w:rPr>
          <w:rFonts w:ascii="Arial" w:eastAsia="Arial" w:hAnsi="Arial" w:cs="Arial"/>
          <w:sz w:val="22"/>
          <w:szCs w:val="22"/>
        </w:rPr>
        <w:t>En el análisis global, las empresas del sector tecnológico lideran el ranking una vez más y presentan previsiones positivas los primeros meses del año</w:t>
      </w:r>
      <w:r w:rsidR="000E662A">
        <w:rPr>
          <w:rFonts w:ascii="Arial" w:eastAsia="Arial" w:hAnsi="Arial" w:cs="Arial"/>
          <w:sz w:val="22"/>
          <w:szCs w:val="22"/>
        </w:rPr>
        <w:t xml:space="preserve"> con un 37% de expectativas de contratación, mejorando, además, </w:t>
      </w:r>
      <w:r>
        <w:rPr>
          <w:rFonts w:ascii="Arial" w:eastAsia="Arial" w:hAnsi="Arial" w:cs="Arial"/>
          <w:sz w:val="22"/>
          <w:szCs w:val="22"/>
        </w:rPr>
        <w:t>2 puntos respecto al trimestre anterior</w:t>
      </w:r>
      <w:r w:rsidR="000E662A">
        <w:rPr>
          <w:rFonts w:ascii="Arial" w:eastAsia="Arial" w:hAnsi="Arial" w:cs="Arial"/>
          <w:sz w:val="22"/>
          <w:szCs w:val="22"/>
        </w:rPr>
        <w:t>.</w:t>
      </w:r>
    </w:p>
    <w:bookmarkEnd w:id="8"/>
    <w:p w14:paraId="064CF92B" w14:textId="5FB1752E" w:rsidR="00830B2F" w:rsidRPr="00830B2F" w:rsidRDefault="00B963A0" w:rsidP="001828BD">
      <w:pPr>
        <w:spacing w:before="120" w:line="288" w:lineRule="auto"/>
        <w:jc w:val="both"/>
        <w:rPr>
          <w:rFonts w:ascii="Arial" w:eastAsia="Arial" w:hAnsi="Arial" w:cs="Arial"/>
          <w:b/>
          <w:bCs/>
          <w:sz w:val="22"/>
          <w:szCs w:val="22"/>
        </w:rPr>
      </w:pPr>
      <w:r>
        <w:rPr>
          <w:rFonts w:ascii="Arial" w:eastAsia="Arial" w:hAnsi="Arial" w:cs="Arial"/>
          <w:sz w:val="22"/>
          <w:szCs w:val="22"/>
        </w:rPr>
        <w:t xml:space="preserve">Por su parte, </w:t>
      </w:r>
      <w:r w:rsidRPr="00AC2022">
        <w:rPr>
          <w:rFonts w:ascii="Arial" w:eastAsia="Arial" w:hAnsi="Arial" w:cs="Arial"/>
          <w:b/>
          <w:bCs/>
          <w:sz w:val="22"/>
          <w:szCs w:val="22"/>
        </w:rPr>
        <w:t>Bienes y servicios de consumo</w:t>
      </w:r>
      <w:r w:rsidRPr="00B963A0">
        <w:rPr>
          <w:rFonts w:ascii="Arial" w:eastAsia="Arial" w:hAnsi="Arial" w:cs="Arial"/>
          <w:sz w:val="22"/>
          <w:szCs w:val="22"/>
        </w:rPr>
        <w:t xml:space="preserve"> también </w:t>
      </w:r>
      <w:r>
        <w:rPr>
          <w:rFonts w:ascii="Arial" w:eastAsia="Arial" w:hAnsi="Arial" w:cs="Arial"/>
          <w:sz w:val="22"/>
          <w:szCs w:val="22"/>
        </w:rPr>
        <w:t xml:space="preserve">se encuentra </w:t>
      </w:r>
      <w:r w:rsidRPr="00B963A0">
        <w:rPr>
          <w:rFonts w:ascii="Arial" w:eastAsia="Arial" w:hAnsi="Arial" w:cs="Arial"/>
          <w:sz w:val="22"/>
          <w:szCs w:val="22"/>
        </w:rPr>
        <w:t>entre los más prudentes</w:t>
      </w:r>
      <w:r>
        <w:rPr>
          <w:rFonts w:ascii="Arial" w:eastAsia="Arial" w:hAnsi="Arial" w:cs="Arial"/>
          <w:sz w:val="22"/>
          <w:szCs w:val="22"/>
        </w:rPr>
        <w:t>, 5 puntos por debajo de la media global (25%)</w:t>
      </w:r>
      <w:r w:rsidR="00AC2022">
        <w:rPr>
          <w:rFonts w:ascii="Arial" w:eastAsia="Arial" w:hAnsi="Arial" w:cs="Arial"/>
          <w:sz w:val="22"/>
          <w:szCs w:val="22"/>
        </w:rPr>
        <w:t>,</w:t>
      </w:r>
      <w:r>
        <w:rPr>
          <w:rFonts w:ascii="Arial" w:eastAsia="Arial" w:hAnsi="Arial" w:cs="Arial"/>
          <w:sz w:val="22"/>
          <w:szCs w:val="22"/>
        </w:rPr>
        <w:t xml:space="preserve"> aunque con unos resultados que doblan el dato español: </w:t>
      </w:r>
      <w:r w:rsidRPr="00AC2022">
        <w:rPr>
          <w:rFonts w:ascii="Arial" w:eastAsia="Arial" w:hAnsi="Arial" w:cs="Arial"/>
          <w:b/>
          <w:bCs/>
          <w:sz w:val="22"/>
          <w:szCs w:val="22"/>
        </w:rPr>
        <w:t>20%</w:t>
      </w:r>
      <w:r>
        <w:rPr>
          <w:rFonts w:ascii="Arial" w:eastAsia="Arial" w:hAnsi="Arial" w:cs="Arial"/>
          <w:sz w:val="22"/>
          <w:szCs w:val="22"/>
        </w:rPr>
        <w:t>.</w:t>
      </w:r>
    </w:p>
    <w:p w14:paraId="56E13614" w14:textId="4EEC048B" w:rsidR="00830B2F" w:rsidRDefault="00830B2F" w:rsidP="002B2305">
      <w:pPr>
        <w:spacing w:before="120" w:line="288" w:lineRule="auto"/>
        <w:jc w:val="center"/>
        <w:rPr>
          <w:rFonts w:ascii="Arial" w:eastAsia="Arial" w:hAnsi="Arial" w:cs="Arial"/>
          <w:bCs/>
          <w:sz w:val="22"/>
          <w:szCs w:val="22"/>
        </w:rPr>
      </w:pPr>
      <w:r w:rsidRPr="0036519F">
        <w:rPr>
          <w:rFonts w:ascii="Arial" w:eastAsiaTheme="minorEastAsia" w:hAnsi="Arial" w:cs="Arial"/>
          <w:b/>
          <w:bCs/>
          <w:i/>
          <w:iCs/>
          <w:noProof/>
          <w:sz w:val="18"/>
          <w:szCs w:val="18"/>
          <w:lang w:eastAsia="zh-CN"/>
        </w:rPr>
        <w:lastRenderedPageBreak/>
        <w:drawing>
          <wp:inline distT="0" distB="0" distL="0" distR="0" wp14:anchorId="4F7728EE" wp14:editId="724075A5">
            <wp:extent cx="5187857" cy="1911350"/>
            <wp:effectExtent l="0" t="0" r="0" b="0"/>
            <wp:docPr id="15319476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947652" name="Imagen 1"/>
                    <pic:cNvPicPr/>
                  </pic:nvPicPr>
                  <pic:blipFill rotWithShape="1">
                    <a:blip r:embed="rId9" cstate="print">
                      <a:extLst>
                        <a:ext uri="{28A0092B-C50C-407E-A947-70E740481C1C}">
                          <a14:useLocalDpi xmlns:a14="http://schemas.microsoft.com/office/drawing/2010/main" val="0"/>
                        </a:ext>
                      </a:extLst>
                    </a:blip>
                    <a:srcRect b="1859"/>
                    <a:stretch/>
                  </pic:blipFill>
                  <pic:spPr bwMode="auto">
                    <a:xfrm>
                      <a:off x="0" y="0"/>
                      <a:ext cx="5195606" cy="1914205"/>
                    </a:xfrm>
                    <a:prstGeom prst="rect">
                      <a:avLst/>
                    </a:prstGeom>
                    <a:ln>
                      <a:noFill/>
                    </a:ln>
                    <a:extLst>
                      <a:ext uri="{53640926-AAD7-44D8-BBD7-CCE9431645EC}">
                        <a14:shadowObscured xmlns:a14="http://schemas.microsoft.com/office/drawing/2010/main"/>
                      </a:ext>
                    </a:extLst>
                  </pic:spPr>
                </pic:pic>
              </a:graphicData>
            </a:graphic>
          </wp:inline>
        </w:drawing>
      </w:r>
    </w:p>
    <w:p w14:paraId="126079F6" w14:textId="55076FAA" w:rsidR="00830B2F" w:rsidRDefault="00830B2F" w:rsidP="001828BD">
      <w:pPr>
        <w:spacing w:before="120" w:line="288"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 a nivel global</w:t>
      </w:r>
    </w:p>
    <w:p w14:paraId="7D04B716" w14:textId="77777777" w:rsidR="00AC2022" w:rsidRDefault="00AC2022" w:rsidP="00AC2022">
      <w:pPr>
        <w:spacing w:before="120" w:line="288" w:lineRule="auto"/>
        <w:rPr>
          <w:rFonts w:ascii="Arial" w:eastAsia="Arial" w:hAnsi="Arial" w:cs="Arial"/>
          <w:bCs/>
          <w:sz w:val="22"/>
          <w:szCs w:val="22"/>
        </w:rPr>
      </w:pPr>
    </w:p>
    <w:bookmarkEnd w:id="3"/>
    <w:bookmarkEnd w:id="4"/>
    <w:p w14:paraId="6F8EBF0E" w14:textId="3E28D800" w:rsidR="00F73932" w:rsidRPr="00DC55EB" w:rsidRDefault="00F73932" w:rsidP="00F73932">
      <w:pPr>
        <w:spacing w:before="120" w:line="288" w:lineRule="auto"/>
        <w:jc w:val="both"/>
        <w:rPr>
          <w:rFonts w:ascii="Arial" w:hAnsi="Arial" w:cs="Arial"/>
          <w:sz w:val="20"/>
          <w:szCs w:val="20"/>
        </w:rPr>
      </w:pPr>
      <w:r w:rsidRPr="00DC55EB">
        <w:rPr>
          <w:rFonts w:ascii="Arial" w:hAnsi="Arial" w:cs="Arial"/>
          <w:b/>
          <w:bCs/>
          <w:sz w:val="20"/>
          <w:szCs w:val="20"/>
        </w:rPr>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413</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5244759E" w14:textId="77777777" w:rsidR="00F73932" w:rsidRPr="00143F63" w:rsidRDefault="00F73932" w:rsidP="00F73932">
      <w:pPr>
        <w:spacing w:before="120" w:line="288"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cambiará el empleo total en su empresa en el próximo trimestre, desde</w:t>
      </w:r>
      <w:r>
        <w:rPr>
          <w:rFonts w:ascii="Arial" w:hAnsi="Arial" w:cs="Arial"/>
          <w:b/>
          <w:bCs/>
          <w:sz w:val="20"/>
          <w:szCs w:val="20"/>
        </w:rPr>
        <w:t xml:space="preserve"> enero a marzo de 2025</w:t>
      </w:r>
      <w:r w:rsidRPr="00D14253">
        <w:rPr>
          <w:rFonts w:ascii="Arial" w:hAnsi="Arial" w:cs="Arial"/>
          <w:b/>
          <w:bCs/>
          <w:sz w:val="20"/>
          <w:szCs w:val="20"/>
        </w:rPr>
        <w:t>,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27612037" w14:textId="77777777" w:rsidR="00F73932" w:rsidRPr="00DC55EB" w:rsidRDefault="00F73932" w:rsidP="00F73932">
      <w:pPr>
        <w:spacing w:before="120" w:line="288"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Default="008F16C4" w:rsidP="0006407D">
      <w:pPr>
        <w:jc w:val="both"/>
        <w:rPr>
          <w:rFonts w:ascii="Arial" w:hAnsi="Arial" w:cs="Arial"/>
          <w:b/>
          <w:bCs/>
          <w:sz w:val="16"/>
          <w:szCs w:val="16"/>
        </w:rPr>
      </w:pPr>
    </w:p>
    <w:p w14:paraId="72D27940" w14:textId="77777777" w:rsidR="002B2305" w:rsidRPr="005209A4" w:rsidRDefault="002B2305"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EE7830"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9"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36519F"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36519F" w:rsidP="00755E42">
            <w:pPr>
              <w:jc w:val="both"/>
              <w:outlineLvl w:val="0"/>
              <w:rPr>
                <w:rFonts w:ascii="Arial" w:hAnsi="Arial" w:cs="Arial"/>
                <w:b/>
                <w:sz w:val="16"/>
                <w:szCs w:val="16"/>
                <w:lang w:val="ca-ES"/>
              </w:rPr>
            </w:pPr>
            <w:hyperlink r:id="rId12" w:history="1">
              <w:r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F4564F" w:rsidRDefault="0036519F" w:rsidP="00755E42">
            <w:pPr>
              <w:jc w:val="both"/>
              <w:rPr>
                <w:rFonts w:ascii="Arial" w:hAnsi="Arial" w:cs="Arial"/>
                <w:sz w:val="16"/>
                <w:szCs w:val="16"/>
                <w:lang w:val="de-DE"/>
              </w:rPr>
            </w:pPr>
            <w:r w:rsidRPr="00F4564F">
              <w:rPr>
                <w:rFonts w:ascii="Arial" w:hAnsi="Arial" w:cs="Arial"/>
                <w:sz w:val="16"/>
                <w:szCs w:val="16"/>
                <w:lang w:val="de-DE"/>
              </w:rPr>
              <w:t>Tel. 687 51 96 90</w:t>
            </w:r>
          </w:p>
          <w:p w14:paraId="5F685ECC" w14:textId="77777777" w:rsidR="0036519F" w:rsidRPr="00F4564F" w:rsidRDefault="0036519F" w:rsidP="00755E42">
            <w:pPr>
              <w:jc w:val="both"/>
              <w:rPr>
                <w:rFonts w:ascii="Arial" w:hAnsi="Arial" w:cs="Arial"/>
                <w:sz w:val="16"/>
                <w:szCs w:val="16"/>
                <w:lang w:val="de-DE"/>
              </w:rPr>
            </w:pPr>
            <w:hyperlink r:id="rId13" w:history="1">
              <w:r w:rsidRPr="00F4564F">
                <w:rPr>
                  <w:rStyle w:val="Hipervnculo"/>
                  <w:rFonts w:ascii="Arial" w:hAnsi="Arial" w:cs="Arial"/>
                  <w:sz w:val="16"/>
                  <w:szCs w:val="16"/>
                  <w:lang w:val="de-DE"/>
                </w:rPr>
                <w:t>juan.gomez@manpowergroup.es</w:t>
              </w:r>
            </w:hyperlink>
          </w:p>
        </w:tc>
      </w:tr>
      <w:bookmarkEnd w:id="9"/>
    </w:tbl>
    <w:p w14:paraId="0F55B214" w14:textId="77777777" w:rsidR="008E54AD" w:rsidRPr="00F4564F" w:rsidRDefault="008E54AD" w:rsidP="008B3A52">
      <w:pPr>
        <w:tabs>
          <w:tab w:val="right" w:pos="8838"/>
        </w:tabs>
        <w:autoSpaceDE w:val="0"/>
        <w:autoSpaceDN w:val="0"/>
        <w:adjustRightInd w:val="0"/>
        <w:jc w:val="both"/>
        <w:rPr>
          <w:rFonts w:ascii="Arial" w:hAnsi="Arial" w:cs="Arial"/>
          <w:b/>
          <w:bCs/>
          <w:sz w:val="16"/>
          <w:szCs w:val="16"/>
          <w:lang w:val="de-DE"/>
        </w:rPr>
      </w:pPr>
    </w:p>
    <w:sectPr w:rsidR="008E54AD" w:rsidRPr="00F4564F"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C742" w14:textId="77777777" w:rsidR="00210BBB" w:rsidRDefault="00210BBB">
      <w:r>
        <w:separator/>
      </w:r>
    </w:p>
  </w:endnote>
  <w:endnote w:type="continuationSeparator" w:id="0">
    <w:p w14:paraId="4E924C0B" w14:textId="77777777" w:rsidR="00210BBB" w:rsidRDefault="0021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4353B" w14:textId="77777777" w:rsidR="00210BBB" w:rsidRDefault="00210BBB">
      <w:r>
        <w:separator/>
      </w:r>
    </w:p>
  </w:footnote>
  <w:footnote w:type="continuationSeparator" w:id="0">
    <w:p w14:paraId="47D07625" w14:textId="77777777" w:rsidR="00210BBB" w:rsidRDefault="00210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7A1CED89" w:rsidR="003B09CB" w:rsidRPr="001828BD" w:rsidRDefault="001828BD" w:rsidP="001828BD">
    <w:pPr>
      <w:pStyle w:val="Encabezado"/>
    </w:pPr>
    <w:r>
      <w:rPr>
        <w:noProof/>
      </w:rPr>
      <w:drawing>
        <wp:anchor distT="0" distB="0" distL="114300" distR="114300" simplePos="0" relativeHeight="251659264" behindDoc="0" locked="0" layoutInCell="1" allowOverlap="1" wp14:anchorId="3B20B38C" wp14:editId="7094C451">
          <wp:simplePos x="0" y="0"/>
          <wp:positionH relativeFrom="column">
            <wp:posOffset>4480560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1383"/>
    <w:rsid w:val="00057E37"/>
    <w:rsid w:val="0006279A"/>
    <w:rsid w:val="00063579"/>
    <w:rsid w:val="0006407D"/>
    <w:rsid w:val="00066C14"/>
    <w:rsid w:val="00084B60"/>
    <w:rsid w:val="000869A2"/>
    <w:rsid w:val="000906C2"/>
    <w:rsid w:val="00095B8E"/>
    <w:rsid w:val="000A1973"/>
    <w:rsid w:val="000D2B5A"/>
    <w:rsid w:val="000D6BCE"/>
    <w:rsid w:val="000E662A"/>
    <w:rsid w:val="000E71B3"/>
    <w:rsid w:val="000F1600"/>
    <w:rsid w:val="0011037D"/>
    <w:rsid w:val="00115A4B"/>
    <w:rsid w:val="0012170F"/>
    <w:rsid w:val="00122E68"/>
    <w:rsid w:val="00123015"/>
    <w:rsid w:val="00124DEA"/>
    <w:rsid w:val="0012624A"/>
    <w:rsid w:val="0013008D"/>
    <w:rsid w:val="001324E2"/>
    <w:rsid w:val="00132B7B"/>
    <w:rsid w:val="00137C4E"/>
    <w:rsid w:val="00142E26"/>
    <w:rsid w:val="00145F17"/>
    <w:rsid w:val="00157558"/>
    <w:rsid w:val="0017076E"/>
    <w:rsid w:val="001741E5"/>
    <w:rsid w:val="00176074"/>
    <w:rsid w:val="00181155"/>
    <w:rsid w:val="001828BD"/>
    <w:rsid w:val="00183B91"/>
    <w:rsid w:val="0018572B"/>
    <w:rsid w:val="00186814"/>
    <w:rsid w:val="0019152E"/>
    <w:rsid w:val="00196895"/>
    <w:rsid w:val="001A2A76"/>
    <w:rsid w:val="001B13C9"/>
    <w:rsid w:val="001B18D2"/>
    <w:rsid w:val="001B2737"/>
    <w:rsid w:val="001B39AD"/>
    <w:rsid w:val="001F6139"/>
    <w:rsid w:val="001F616E"/>
    <w:rsid w:val="002059D2"/>
    <w:rsid w:val="00210BBB"/>
    <w:rsid w:val="00212129"/>
    <w:rsid w:val="002246BA"/>
    <w:rsid w:val="00226CF7"/>
    <w:rsid w:val="00231D36"/>
    <w:rsid w:val="002331A8"/>
    <w:rsid w:val="0024317A"/>
    <w:rsid w:val="00275B27"/>
    <w:rsid w:val="00280DEC"/>
    <w:rsid w:val="002870C7"/>
    <w:rsid w:val="00294475"/>
    <w:rsid w:val="002A1736"/>
    <w:rsid w:val="002A3D92"/>
    <w:rsid w:val="002B2305"/>
    <w:rsid w:val="002B3386"/>
    <w:rsid w:val="002B3F52"/>
    <w:rsid w:val="002B461A"/>
    <w:rsid w:val="002C02D9"/>
    <w:rsid w:val="002D032D"/>
    <w:rsid w:val="002D69D8"/>
    <w:rsid w:val="002E289B"/>
    <w:rsid w:val="002F04D0"/>
    <w:rsid w:val="003019C9"/>
    <w:rsid w:val="00307DEC"/>
    <w:rsid w:val="0031261F"/>
    <w:rsid w:val="0032424C"/>
    <w:rsid w:val="00326125"/>
    <w:rsid w:val="003269EA"/>
    <w:rsid w:val="00331A79"/>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96788"/>
    <w:rsid w:val="003A214F"/>
    <w:rsid w:val="003A2B29"/>
    <w:rsid w:val="003A30A0"/>
    <w:rsid w:val="003B09CB"/>
    <w:rsid w:val="003B78B0"/>
    <w:rsid w:val="003C4899"/>
    <w:rsid w:val="003C5FF2"/>
    <w:rsid w:val="003D0E85"/>
    <w:rsid w:val="003D4F9E"/>
    <w:rsid w:val="003E08D8"/>
    <w:rsid w:val="003E34D9"/>
    <w:rsid w:val="003E3C5F"/>
    <w:rsid w:val="003E70B2"/>
    <w:rsid w:val="003F40DD"/>
    <w:rsid w:val="00401FD2"/>
    <w:rsid w:val="00407AD8"/>
    <w:rsid w:val="0041402C"/>
    <w:rsid w:val="004162DB"/>
    <w:rsid w:val="0042469B"/>
    <w:rsid w:val="00427501"/>
    <w:rsid w:val="0043179C"/>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55D20"/>
    <w:rsid w:val="00561B53"/>
    <w:rsid w:val="00564AFB"/>
    <w:rsid w:val="00567779"/>
    <w:rsid w:val="0057357A"/>
    <w:rsid w:val="00576DDF"/>
    <w:rsid w:val="00577B92"/>
    <w:rsid w:val="00583013"/>
    <w:rsid w:val="005838B1"/>
    <w:rsid w:val="00584891"/>
    <w:rsid w:val="00587B64"/>
    <w:rsid w:val="00590A1C"/>
    <w:rsid w:val="005939CD"/>
    <w:rsid w:val="00596187"/>
    <w:rsid w:val="005A44F4"/>
    <w:rsid w:val="005A7DB1"/>
    <w:rsid w:val="005A7E9C"/>
    <w:rsid w:val="005C1E72"/>
    <w:rsid w:val="005C33ED"/>
    <w:rsid w:val="005D17CE"/>
    <w:rsid w:val="005D1AE9"/>
    <w:rsid w:val="005D5DC2"/>
    <w:rsid w:val="005D6FF5"/>
    <w:rsid w:val="005E0545"/>
    <w:rsid w:val="005E4173"/>
    <w:rsid w:val="005F0582"/>
    <w:rsid w:val="005F1509"/>
    <w:rsid w:val="005F1CEB"/>
    <w:rsid w:val="00601B68"/>
    <w:rsid w:val="00605AEF"/>
    <w:rsid w:val="00635FD7"/>
    <w:rsid w:val="00636A81"/>
    <w:rsid w:val="00642CB5"/>
    <w:rsid w:val="0064466A"/>
    <w:rsid w:val="006515B4"/>
    <w:rsid w:val="00652342"/>
    <w:rsid w:val="006536BD"/>
    <w:rsid w:val="00655163"/>
    <w:rsid w:val="00670B5E"/>
    <w:rsid w:val="0067332C"/>
    <w:rsid w:val="00682AA2"/>
    <w:rsid w:val="006837DA"/>
    <w:rsid w:val="00687087"/>
    <w:rsid w:val="0068763B"/>
    <w:rsid w:val="00691081"/>
    <w:rsid w:val="00694B11"/>
    <w:rsid w:val="006972C0"/>
    <w:rsid w:val="006A61A8"/>
    <w:rsid w:val="006A7F27"/>
    <w:rsid w:val="006B0824"/>
    <w:rsid w:val="006B2084"/>
    <w:rsid w:val="006B6CC7"/>
    <w:rsid w:val="006B6EBB"/>
    <w:rsid w:val="006E5208"/>
    <w:rsid w:val="006E7190"/>
    <w:rsid w:val="0070063C"/>
    <w:rsid w:val="00700FE8"/>
    <w:rsid w:val="00710857"/>
    <w:rsid w:val="00720BA0"/>
    <w:rsid w:val="0072269E"/>
    <w:rsid w:val="00724CBF"/>
    <w:rsid w:val="00731F03"/>
    <w:rsid w:val="007350DA"/>
    <w:rsid w:val="00741C49"/>
    <w:rsid w:val="00743A94"/>
    <w:rsid w:val="00783F06"/>
    <w:rsid w:val="00795548"/>
    <w:rsid w:val="00796D76"/>
    <w:rsid w:val="007A0082"/>
    <w:rsid w:val="007A74B1"/>
    <w:rsid w:val="007B189E"/>
    <w:rsid w:val="007B59D1"/>
    <w:rsid w:val="007B679F"/>
    <w:rsid w:val="007C5E67"/>
    <w:rsid w:val="007D0CFF"/>
    <w:rsid w:val="007E0F84"/>
    <w:rsid w:val="007E2DCC"/>
    <w:rsid w:val="00801C70"/>
    <w:rsid w:val="00825CE9"/>
    <w:rsid w:val="00830B2F"/>
    <w:rsid w:val="00836F8E"/>
    <w:rsid w:val="008405EA"/>
    <w:rsid w:val="00841381"/>
    <w:rsid w:val="00853C2E"/>
    <w:rsid w:val="00853DF2"/>
    <w:rsid w:val="00857C81"/>
    <w:rsid w:val="008671D4"/>
    <w:rsid w:val="008764B5"/>
    <w:rsid w:val="00882FCB"/>
    <w:rsid w:val="00885750"/>
    <w:rsid w:val="00886F0C"/>
    <w:rsid w:val="00890443"/>
    <w:rsid w:val="00891830"/>
    <w:rsid w:val="0089190E"/>
    <w:rsid w:val="008979FE"/>
    <w:rsid w:val="008A4224"/>
    <w:rsid w:val="008B14CC"/>
    <w:rsid w:val="008B155B"/>
    <w:rsid w:val="008B3A52"/>
    <w:rsid w:val="008B45E4"/>
    <w:rsid w:val="008B79F9"/>
    <w:rsid w:val="008C0114"/>
    <w:rsid w:val="008C44D3"/>
    <w:rsid w:val="008C5AB0"/>
    <w:rsid w:val="008E0924"/>
    <w:rsid w:val="008E54AD"/>
    <w:rsid w:val="008E730B"/>
    <w:rsid w:val="008F16C4"/>
    <w:rsid w:val="008F1BD7"/>
    <w:rsid w:val="00903495"/>
    <w:rsid w:val="00911D5D"/>
    <w:rsid w:val="00914020"/>
    <w:rsid w:val="00920299"/>
    <w:rsid w:val="00924550"/>
    <w:rsid w:val="00927308"/>
    <w:rsid w:val="00931026"/>
    <w:rsid w:val="00932CB7"/>
    <w:rsid w:val="0093479E"/>
    <w:rsid w:val="00936982"/>
    <w:rsid w:val="00942998"/>
    <w:rsid w:val="009436E0"/>
    <w:rsid w:val="00943FC1"/>
    <w:rsid w:val="009456E3"/>
    <w:rsid w:val="00966C08"/>
    <w:rsid w:val="00970C74"/>
    <w:rsid w:val="0097165A"/>
    <w:rsid w:val="0097553E"/>
    <w:rsid w:val="00977BE7"/>
    <w:rsid w:val="00980A2D"/>
    <w:rsid w:val="0098143A"/>
    <w:rsid w:val="00981941"/>
    <w:rsid w:val="00982693"/>
    <w:rsid w:val="00991A90"/>
    <w:rsid w:val="009A0E87"/>
    <w:rsid w:val="009A1298"/>
    <w:rsid w:val="009A1EB0"/>
    <w:rsid w:val="009A3526"/>
    <w:rsid w:val="009A4095"/>
    <w:rsid w:val="009A6F8A"/>
    <w:rsid w:val="009B2C9F"/>
    <w:rsid w:val="009C2675"/>
    <w:rsid w:val="009C4562"/>
    <w:rsid w:val="009C5491"/>
    <w:rsid w:val="009C610D"/>
    <w:rsid w:val="009D2871"/>
    <w:rsid w:val="009D2EF1"/>
    <w:rsid w:val="009D3CF7"/>
    <w:rsid w:val="009D4CEF"/>
    <w:rsid w:val="009E182B"/>
    <w:rsid w:val="009F01EA"/>
    <w:rsid w:val="009F2A76"/>
    <w:rsid w:val="009F301A"/>
    <w:rsid w:val="009F7DB9"/>
    <w:rsid w:val="009F7E1C"/>
    <w:rsid w:val="00A01277"/>
    <w:rsid w:val="00A021F7"/>
    <w:rsid w:val="00A02C34"/>
    <w:rsid w:val="00A26E50"/>
    <w:rsid w:val="00A346D1"/>
    <w:rsid w:val="00A41710"/>
    <w:rsid w:val="00A45200"/>
    <w:rsid w:val="00A458AD"/>
    <w:rsid w:val="00A50B4D"/>
    <w:rsid w:val="00A52E71"/>
    <w:rsid w:val="00A54B87"/>
    <w:rsid w:val="00A56426"/>
    <w:rsid w:val="00A574BF"/>
    <w:rsid w:val="00A7208B"/>
    <w:rsid w:val="00A75968"/>
    <w:rsid w:val="00A81170"/>
    <w:rsid w:val="00A84DE6"/>
    <w:rsid w:val="00AB24A2"/>
    <w:rsid w:val="00AC2022"/>
    <w:rsid w:val="00AE0726"/>
    <w:rsid w:val="00AF11D7"/>
    <w:rsid w:val="00AF2C8A"/>
    <w:rsid w:val="00AF735D"/>
    <w:rsid w:val="00B05CD9"/>
    <w:rsid w:val="00B05D48"/>
    <w:rsid w:val="00B116AF"/>
    <w:rsid w:val="00B12B48"/>
    <w:rsid w:val="00B14FF8"/>
    <w:rsid w:val="00B179B5"/>
    <w:rsid w:val="00B22902"/>
    <w:rsid w:val="00B32DA9"/>
    <w:rsid w:val="00B33B9D"/>
    <w:rsid w:val="00B43656"/>
    <w:rsid w:val="00B5158D"/>
    <w:rsid w:val="00B60986"/>
    <w:rsid w:val="00B628EE"/>
    <w:rsid w:val="00B8069B"/>
    <w:rsid w:val="00B87F8E"/>
    <w:rsid w:val="00B963A0"/>
    <w:rsid w:val="00B963D0"/>
    <w:rsid w:val="00BB1160"/>
    <w:rsid w:val="00BB39D9"/>
    <w:rsid w:val="00BB66B8"/>
    <w:rsid w:val="00BC0EE7"/>
    <w:rsid w:val="00BC45B7"/>
    <w:rsid w:val="00BC46BE"/>
    <w:rsid w:val="00BD5663"/>
    <w:rsid w:val="00BE22AA"/>
    <w:rsid w:val="00BF2547"/>
    <w:rsid w:val="00BF2A9C"/>
    <w:rsid w:val="00BF5E11"/>
    <w:rsid w:val="00C02974"/>
    <w:rsid w:val="00C06650"/>
    <w:rsid w:val="00C122AC"/>
    <w:rsid w:val="00C41541"/>
    <w:rsid w:val="00C4624D"/>
    <w:rsid w:val="00C46CB3"/>
    <w:rsid w:val="00C536C9"/>
    <w:rsid w:val="00C549B2"/>
    <w:rsid w:val="00C61314"/>
    <w:rsid w:val="00C7314E"/>
    <w:rsid w:val="00C73CB1"/>
    <w:rsid w:val="00C74D41"/>
    <w:rsid w:val="00C82EFD"/>
    <w:rsid w:val="00C83097"/>
    <w:rsid w:val="00C91CCE"/>
    <w:rsid w:val="00C926CF"/>
    <w:rsid w:val="00C97060"/>
    <w:rsid w:val="00CA0905"/>
    <w:rsid w:val="00CA50B7"/>
    <w:rsid w:val="00CB6B70"/>
    <w:rsid w:val="00CC1F87"/>
    <w:rsid w:val="00CC3472"/>
    <w:rsid w:val="00CF74FF"/>
    <w:rsid w:val="00D02D48"/>
    <w:rsid w:val="00D05483"/>
    <w:rsid w:val="00D206CE"/>
    <w:rsid w:val="00D27829"/>
    <w:rsid w:val="00D27B5C"/>
    <w:rsid w:val="00D3571D"/>
    <w:rsid w:val="00D62DA8"/>
    <w:rsid w:val="00D63AB2"/>
    <w:rsid w:val="00D64482"/>
    <w:rsid w:val="00D7168F"/>
    <w:rsid w:val="00D73001"/>
    <w:rsid w:val="00D7641E"/>
    <w:rsid w:val="00D865AD"/>
    <w:rsid w:val="00D90EF8"/>
    <w:rsid w:val="00D92B75"/>
    <w:rsid w:val="00DA225F"/>
    <w:rsid w:val="00DB0F1B"/>
    <w:rsid w:val="00DB45BA"/>
    <w:rsid w:val="00DB5EEF"/>
    <w:rsid w:val="00DC304A"/>
    <w:rsid w:val="00DC6709"/>
    <w:rsid w:val="00DD53A1"/>
    <w:rsid w:val="00DE15C9"/>
    <w:rsid w:val="00DE381F"/>
    <w:rsid w:val="00DE502B"/>
    <w:rsid w:val="00DF4C04"/>
    <w:rsid w:val="00DF6943"/>
    <w:rsid w:val="00E10601"/>
    <w:rsid w:val="00E12E1F"/>
    <w:rsid w:val="00E13BED"/>
    <w:rsid w:val="00E14B59"/>
    <w:rsid w:val="00E269C3"/>
    <w:rsid w:val="00E36DF7"/>
    <w:rsid w:val="00E375F1"/>
    <w:rsid w:val="00E64F9B"/>
    <w:rsid w:val="00E66280"/>
    <w:rsid w:val="00E675C5"/>
    <w:rsid w:val="00E67A01"/>
    <w:rsid w:val="00E845CF"/>
    <w:rsid w:val="00E87B2B"/>
    <w:rsid w:val="00E91772"/>
    <w:rsid w:val="00EA47E3"/>
    <w:rsid w:val="00EA7C7E"/>
    <w:rsid w:val="00EB283B"/>
    <w:rsid w:val="00ED4D55"/>
    <w:rsid w:val="00ED543B"/>
    <w:rsid w:val="00ED788C"/>
    <w:rsid w:val="00EE2B53"/>
    <w:rsid w:val="00EE7830"/>
    <w:rsid w:val="00F00E57"/>
    <w:rsid w:val="00F03D39"/>
    <w:rsid w:val="00F0652C"/>
    <w:rsid w:val="00F0730E"/>
    <w:rsid w:val="00F12D89"/>
    <w:rsid w:val="00F12F38"/>
    <w:rsid w:val="00F24D52"/>
    <w:rsid w:val="00F26D2A"/>
    <w:rsid w:val="00F34988"/>
    <w:rsid w:val="00F3670F"/>
    <w:rsid w:val="00F4008A"/>
    <w:rsid w:val="00F432F1"/>
    <w:rsid w:val="00F45079"/>
    <w:rsid w:val="00F4564F"/>
    <w:rsid w:val="00F45C5A"/>
    <w:rsid w:val="00F5395E"/>
    <w:rsid w:val="00F5559A"/>
    <w:rsid w:val="00F6573D"/>
    <w:rsid w:val="00F72967"/>
    <w:rsid w:val="00F73932"/>
    <w:rsid w:val="00F73A73"/>
    <w:rsid w:val="00F74E6C"/>
    <w:rsid w:val="00F761C4"/>
    <w:rsid w:val="00F82ABD"/>
    <w:rsid w:val="00F87D9D"/>
    <w:rsid w:val="00F93A2E"/>
    <w:rsid w:val="00F95E09"/>
    <w:rsid w:val="00F963D2"/>
    <w:rsid w:val="00FA2A48"/>
    <w:rsid w:val="00FB561C"/>
    <w:rsid w:val="00FB69D7"/>
    <w:rsid w:val="00FC3937"/>
    <w:rsid w:val="00FC7D4B"/>
    <w:rsid w:val="00FE0A8D"/>
    <w:rsid w:val="00FF00F2"/>
    <w:rsid w:val="00FF1C0C"/>
    <w:rsid w:val="00FF4E94"/>
    <w:rsid w:val="00FF57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742">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21276977">
      <w:bodyDiv w:val="1"/>
      <w:marLeft w:val="0"/>
      <w:marRight w:val="0"/>
      <w:marTop w:val="0"/>
      <w:marBottom w:val="0"/>
      <w:divBdr>
        <w:top w:val="none" w:sz="0" w:space="0" w:color="auto"/>
        <w:left w:val="none" w:sz="0" w:space="0" w:color="auto"/>
        <w:bottom w:val="none" w:sz="0" w:space="0" w:color="auto"/>
        <w:right w:val="none" w:sz="0" w:space="0" w:color="auto"/>
      </w:divBdr>
      <w:divsChild>
        <w:div w:id="829442275">
          <w:marLeft w:val="0"/>
          <w:marRight w:val="0"/>
          <w:marTop w:val="0"/>
          <w:marBottom w:val="0"/>
          <w:divBdr>
            <w:top w:val="none" w:sz="0" w:space="0" w:color="auto"/>
            <w:left w:val="none" w:sz="0" w:space="0" w:color="auto"/>
            <w:bottom w:val="none" w:sz="0" w:space="0" w:color="auto"/>
            <w:right w:val="none" w:sz="0" w:space="0" w:color="auto"/>
          </w:divBdr>
          <w:divsChild>
            <w:div w:id="662196144">
              <w:marLeft w:val="0"/>
              <w:marRight w:val="0"/>
              <w:marTop w:val="0"/>
              <w:marBottom w:val="0"/>
              <w:divBdr>
                <w:top w:val="none" w:sz="0" w:space="0" w:color="auto"/>
                <w:left w:val="none" w:sz="0" w:space="0" w:color="auto"/>
                <w:bottom w:val="none" w:sz="0" w:space="0" w:color="auto"/>
                <w:right w:val="none" w:sz="0" w:space="0" w:color="auto"/>
              </w:divBdr>
              <w:divsChild>
                <w:div w:id="102652505">
                  <w:marLeft w:val="0"/>
                  <w:marRight w:val="0"/>
                  <w:marTop w:val="0"/>
                  <w:marBottom w:val="0"/>
                  <w:divBdr>
                    <w:top w:val="none" w:sz="0" w:space="0" w:color="auto"/>
                    <w:left w:val="none" w:sz="0" w:space="0" w:color="auto"/>
                    <w:bottom w:val="none" w:sz="0" w:space="0" w:color="auto"/>
                    <w:right w:val="none" w:sz="0" w:space="0" w:color="auto"/>
                  </w:divBdr>
                  <w:divsChild>
                    <w:div w:id="138697301">
                      <w:marLeft w:val="0"/>
                      <w:marRight w:val="0"/>
                      <w:marTop w:val="0"/>
                      <w:marBottom w:val="0"/>
                      <w:divBdr>
                        <w:top w:val="none" w:sz="0" w:space="0" w:color="auto"/>
                        <w:left w:val="none" w:sz="0" w:space="0" w:color="auto"/>
                        <w:bottom w:val="none" w:sz="0" w:space="0" w:color="auto"/>
                        <w:right w:val="none" w:sz="0" w:space="0" w:color="auto"/>
                      </w:divBdr>
                      <w:divsChild>
                        <w:div w:id="1409426611">
                          <w:marLeft w:val="0"/>
                          <w:marRight w:val="0"/>
                          <w:marTop w:val="0"/>
                          <w:marBottom w:val="0"/>
                          <w:divBdr>
                            <w:top w:val="none" w:sz="0" w:space="0" w:color="auto"/>
                            <w:left w:val="none" w:sz="0" w:space="0" w:color="auto"/>
                            <w:bottom w:val="none" w:sz="0" w:space="0" w:color="auto"/>
                            <w:right w:val="none" w:sz="0" w:space="0" w:color="auto"/>
                          </w:divBdr>
                          <w:divsChild>
                            <w:div w:id="6802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78674205">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087460134">
      <w:bodyDiv w:val="1"/>
      <w:marLeft w:val="0"/>
      <w:marRight w:val="0"/>
      <w:marTop w:val="0"/>
      <w:marBottom w:val="0"/>
      <w:divBdr>
        <w:top w:val="none" w:sz="0" w:space="0" w:color="auto"/>
        <w:left w:val="none" w:sz="0" w:space="0" w:color="auto"/>
        <w:bottom w:val="none" w:sz="0" w:space="0" w:color="auto"/>
        <w:right w:val="none" w:sz="0" w:space="0" w:color="auto"/>
      </w:divBdr>
      <w:divsChild>
        <w:div w:id="1417820359">
          <w:marLeft w:val="0"/>
          <w:marRight w:val="0"/>
          <w:marTop w:val="0"/>
          <w:marBottom w:val="0"/>
          <w:divBdr>
            <w:top w:val="none" w:sz="0" w:space="0" w:color="auto"/>
            <w:left w:val="none" w:sz="0" w:space="0" w:color="auto"/>
            <w:bottom w:val="none" w:sz="0" w:space="0" w:color="auto"/>
            <w:right w:val="none" w:sz="0" w:space="0" w:color="auto"/>
          </w:divBdr>
          <w:divsChild>
            <w:div w:id="749621386">
              <w:marLeft w:val="0"/>
              <w:marRight w:val="0"/>
              <w:marTop w:val="0"/>
              <w:marBottom w:val="0"/>
              <w:divBdr>
                <w:top w:val="none" w:sz="0" w:space="0" w:color="auto"/>
                <w:left w:val="none" w:sz="0" w:space="0" w:color="auto"/>
                <w:bottom w:val="none" w:sz="0" w:space="0" w:color="auto"/>
                <w:right w:val="none" w:sz="0" w:space="0" w:color="auto"/>
              </w:divBdr>
              <w:divsChild>
                <w:div w:id="991714759">
                  <w:marLeft w:val="0"/>
                  <w:marRight w:val="0"/>
                  <w:marTop w:val="0"/>
                  <w:marBottom w:val="0"/>
                  <w:divBdr>
                    <w:top w:val="none" w:sz="0" w:space="0" w:color="auto"/>
                    <w:left w:val="none" w:sz="0" w:space="0" w:color="auto"/>
                    <w:bottom w:val="none" w:sz="0" w:space="0" w:color="auto"/>
                    <w:right w:val="none" w:sz="0" w:space="0" w:color="auto"/>
                  </w:divBdr>
                  <w:divsChild>
                    <w:div w:id="206534329">
                      <w:marLeft w:val="0"/>
                      <w:marRight w:val="0"/>
                      <w:marTop w:val="0"/>
                      <w:marBottom w:val="0"/>
                      <w:divBdr>
                        <w:top w:val="none" w:sz="0" w:space="0" w:color="auto"/>
                        <w:left w:val="none" w:sz="0" w:space="0" w:color="auto"/>
                        <w:bottom w:val="none" w:sz="0" w:space="0" w:color="auto"/>
                        <w:right w:val="none" w:sz="0" w:space="0" w:color="auto"/>
                      </w:divBdr>
                      <w:divsChild>
                        <w:div w:id="1811169818">
                          <w:marLeft w:val="0"/>
                          <w:marRight w:val="0"/>
                          <w:marTop w:val="0"/>
                          <w:marBottom w:val="0"/>
                          <w:divBdr>
                            <w:top w:val="none" w:sz="0" w:space="0" w:color="auto"/>
                            <w:left w:val="none" w:sz="0" w:space="0" w:color="auto"/>
                            <w:bottom w:val="none" w:sz="0" w:space="0" w:color="auto"/>
                            <w:right w:val="none" w:sz="0" w:space="0" w:color="auto"/>
                          </w:divBdr>
                          <w:divsChild>
                            <w:div w:id="2205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984</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4</cp:revision>
  <cp:lastPrinted>2022-12-19T17:21:00Z</cp:lastPrinted>
  <dcterms:created xsi:type="dcterms:W3CDTF">2024-12-13T08:50:00Z</dcterms:created>
  <dcterms:modified xsi:type="dcterms:W3CDTF">2024-12-17T11:08:00Z</dcterms:modified>
</cp:coreProperties>
</file>