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BE3" w14:textId="3CC72589" w:rsidR="003436D7" w:rsidRDefault="003436D7" w:rsidP="00182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 xml:space="preserve">Estudio de Proyección de Empleo de ManpowerGroup para </w:t>
      </w:r>
      <w:r w:rsidR="00CC3472">
        <w:rPr>
          <w:rFonts w:ascii="Arial" w:eastAsia="Arial" w:hAnsi="Arial" w:cs="Arial"/>
          <w:b/>
          <w:color w:val="000000"/>
          <w:sz w:val="20"/>
          <w:szCs w:val="20"/>
          <w:u w:val="single"/>
        </w:rPr>
        <w:t>enero</w:t>
      </w:r>
      <w:r w:rsidRPr="003436D7">
        <w:rPr>
          <w:rFonts w:ascii="Arial" w:eastAsia="Arial" w:hAnsi="Arial" w:cs="Arial"/>
          <w:b/>
          <w:color w:val="000000"/>
          <w:sz w:val="20"/>
          <w:szCs w:val="20"/>
          <w:u w:val="single"/>
        </w:rPr>
        <w:t>-</w:t>
      </w:r>
      <w:r w:rsidR="00CC3472">
        <w:rPr>
          <w:rFonts w:ascii="Arial" w:eastAsia="Arial" w:hAnsi="Arial" w:cs="Arial"/>
          <w:b/>
          <w:color w:val="000000"/>
          <w:sz w:val="20"/>
          <w:szCs w:val="20"/>
          <w:u w:val="single"/>
        </w:rPr>
        <w:t>marzo</w:t>
      </w:r>
      <w:r w:rsidR="00CC3472" w:rsidRPr="003436D7">
        <w:rPr>
          <w:rFonts w:ascii="Arial" w:eastAsia="Arial" w:hAnsi="Arial" w:cs="Arial"/>
          <w:b/>
          <w:color w:val="000000"/>
          <w:sz w:val="20"/>
          <w:szCs w:val="20"/>
          <w:u w:val="single"/>
        </w:rPr>
        <w:t xml:space="preserve"> </w:t>
      </w:r>
      <w:r w:rsidR="00CC3472">
        <w:rPr>
          <w:rFonts w:ascii="Arial" w:eastAsia="Arial" w:hAnsi="Arial" w:cs="Arial"/>
          <w:b/>
          <w:color w:val="000000"/>
          <w:sz w:val="20"/>
          <w:szCs w:val="20"/>
          <w:u w:val="single"/>
        </w:rPr>
        <w:t>2025</w:t>
      </w:r>
    </w:p>
    <w:p w14:paraId="75CFC360" w14:textId="77777777" w:rsidR="004318DB" w:rsidRDefault="004318DB" w:rsidP="00182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6E0517D" w14:textId="4FC834DF" w:rsidR="00C4624D" w:rsidRDefault="002D0F93" w:rsidP="003A30A0">
      <w:pPr>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Un tercio de las empresas de </w:t>
      </w:r>
      <w:r w:rsidR="00DE15C9">
        <w:rPr>
          <w:rFonts w:ascii="Arial" w:eastAsia="Arial" w:hAnsi="Arial" w:cs="Arial"/>
          <w:b/>
          <w:bCs/>
          <w:sz w:val="36"/>
          <w:szCs w:val="36"/>
        </w:rPr>
        <w:t xml:space="preserve">Salud y farmacia </w:t>
      </w:r>
      <w:r>
        <w:rPr>
          <w:rFonts w:ascii="Arial" w:eastAsia="Arial" w:hAnsi="Arial" w:cs="Arial"/>
          <w:b/>
          <w:bCs/>
          <w:sz w:val="36"/>
          <w:szCs w:val="36"/>
        </w:rPr>
        <w:t>planea hacer contrataciones en el inicio de 2025</w:t>
      </w:r>
    </w:p>
    <w:p w14:paraId="7FBB89D5" w14:textId="77777777" w:rsidR="004318DB" w:rsidRPr="004318DB" w:rsidRDefault="004318DB" w:rsidP="004318DB">
      <w:pPr>
        <w:spacing w:before="120" w:line="288" w:lineRule="auto"/>
        <w:jc w:val="both"/>
        <w:rPr>
          <w:rFonts w:ascii="Arial" w:eastAsia="Arial" w:hAnsi="Arial" w:cs="Arial"/>
          <w:b/>
          <w:sz w:val="23"/>
          <w:szCs w:val="23"/>
        </w:rPr>
      </w:pPr>
    </w:p>
    <w:p w14:paraId="3F955590" w14:textId="2CA637E8" w:rsidR="00DE15C9" w:rsidRPr="00C4624D" w:rsidRDefault="00DE15C9" w:rsidP="00C4624D">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Las empresas del sector se muestran optimistas y registran unas previsiones netas de contratación </w:t>
      </w:r>
      <w:r w:rsidR="002D0F93">
        <w:rPr>
          <w:rFonts w:ascii="Arial" w:eastAsia="Arial" w:hAnsi="Arial" w:cs="Arial"/>
          <w:b/>
          <w:sz w:val="23"/>
          <w:szCs w:val="23"/>
        </w:rPr>
        <w:t xml:space="preserve">del 17%, en línea con la media nacional y </w:t>
      </w:r>
      <w:r>
        <w:rPr>
          <w:rFonts w:ascii="Arial" w:eastAsia="Arial" w:hAnsi="Arial" w:cs="Arial"/>
          <w:b/>
          <w:sz w:val="23"/>
          <w:szCs w:val="23"/>
        </w:rPr>
        <w:t xml:space="preserve">9 puntos por encima </w:t>
      </w:r>
      <w:r w:rsidR="002D0F93">
        <w:rPr>
          <w:rFonts w:ascii="Arial" w:eastAsia="Arial" w:hAnsi="Arial" w:cs="Arial"/>
          <w:b/>
          <w:sz w:val="23"/>
          <w:szCs w:val="23"/>
        </w:rPr>
        <w:t>de sus resultados en el cierre de 2024</w:t>
      </w:r>
      <w:r>
        <w:rPr>
          <w:rFonts w:ascii="Arial" w:eastAsia="Arial" w:hAnsi="Arial" w:cs="Arial"/>
          <w:b/>
          <w:sz w:val="23"/>
          <w:szCs w:val="23"/>
        </w:rPr>
        <w:t>.</w:t>
      </w:r>
    </w:p>
    <w:p w14:paraId="5A064EE6" w14:textId="210A3AAB" w:rsidR="00352F56" w:rsidRPr="00352F56" w:rsidRDefault="00567779" w:rsidP="00352F56">
      <w:pPr>
        <w:pStyle w:val="Prrafodelista"/>
        <w:numPr>
          <w:ilvl w:val="0"/>
          <w:numId w:val="7"/>
        </w:numPr>
        <w:spacing w:before="120" w:line="288" w:lineRule="auto"/>
        <w:contextualSpacing w:val="0"/>
        <w:jc w:val="both"/>
        <w:rPr>
          <w:rFonts w:ascii="Arial" w:eastAsia="Arial" w:hAnsi="Arial" w:cs="Arial"/>
          <w:bCs/>
          <w:sz w:val="22"/>
          <w:szCs w:val="22"/>
        </w:rPr>
      </w:pPr>
      <w:r>
        <w:rPr>
          <w:rFonts w:ascii="Arial" w:eastAsia="Arial" w:hAnsi="Arial" w:cs="Arial"/>
          <w:b/>
          <w:sz w:val="23"/>
          <w:szCs w:val="23"/>
        </w:rPr>
        <w:t xml:space="preserve">Tecnología </w:t>
      </w:r>
      <w:r w:rsidR="00DE15C9">
        <w:rPr>
          <w:rFonts w:ascii="Arial" w:eastAsia="Arial" w:hAnsi="Arial" w:cs="Arial"/>
          <w:b/>
          <w:sz w:val="23"/>
          <w:szCs w:val="23"/>
        </w:rPr>
        <w:t xml:space="preserve">lidera el ranking con unas </w:t>
      </w:r>
      <w:r>
        <w:rPr>
          <w:rFonts w:ascii="Arial" w:eastAsia="Arial" w:hAnsi="Arial" w:cs="Arial"/>
          <w:b/>
          <w:sz w:val="23"/>
          <w:szCs w:val="23"/>
        </w:rPr>
        <w:t>estimaciones</w:t>
      </w:r>
      <w:r w:rsidR="00DE15C9">
        <w:rPr>
          <w:rFonts w:ascii="Arial" w:eastAsia="Arial" w:hAnsi="Arial" w:cs="Arial"/>
          <w:b/>
          <w:sz w:val="23"/>
          <w:szCs w:val="23"/>
        </w:rPr>
        <w:t xml:space="preserve"> del 27%, seguido de Transporte, logística y automoción y Publicidad y comunicación, ambas con un 20%.</w:t>
      </w:r>
    </w:p>
    <w:p w14:paraId="3F0DB2DC" w14:textId="77777777" w:rsidR="00352F56" w:rsidRPr="001828BD" w:rsidRDefault="00352F56" w:rsidP="00352F56">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En el lado opuesto de la clasificación se sitúan las compañías de Energía y suministros con unas expectativas de contratación del 2%.</w:t>
      </w:r>
    </w:p>
    <w:p w14:paraId="4FB7BB41" w14:textId="77777777" w:rsidR="00700FE8" w:rsidRPr="00F12D89" w:rsidRDefault="00700FE8" w:rsidP="001828BD">
      <w:pPr>
        <w:spacing w:before="120" w:line="288" w:lineRule="auto"/>
        <w:jc w:val="both"/>
        <w:rPr>
          <w:rFonts w:ascii="Arial" w:eastAsia="Arial" w:hAnsi="Arial" w:cs="Arial"/>
          <w:b/>
          <w:sz w:val="22"/>
          <w:szCs w:val="22"/>
        </w:rPr>
      </w:pPr>
    </w:p>
    <w:bookmarkEnd w:id="2"/>
    <w:p w14:paraId="54D65331" w14:textId="6D1BCD12" w:rsidR="00567779" w:rsidRDefault="00196895" w:rsidP="001828BD">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F432F1">
        <w:rPr>
          <w:rFonts w:ascii="Arial" w:eastAsia="Arial" w:hAnsi="Arial" w:cs="Arial"/>
          <w:b/>
          <w:sz w:val="22"/>
          <w:szCs w:val="22"/>
        </w:rPr>
        <w:t>17</w:t>
      </w:r>
      <w:r w:rsidR="00D7168F">
        <w:rPr>
          <w:rFonts w:ascii="Arial" w:eastAsia="Arial" w:hAnsi="Arial" w:cs="Arial"/>
          <w:b/>
          <w:sz w:val="22"/>
          <w:szCs w:val="22"/>
        </w:rPr>
        <w:t xml:space="preserve"> </w:t>
      </w:r>
      <w:r w:rsidRPr="00584891">
        <w:rPr>
          <w:rFonts w:ascii="Arial" w:eastAsia="Arial" w:hAnsi="Arial" w:cs="Arial"/>
          <w:b/>
          <w:sz w:val="22"/>
          <w:szCs w:val="22"/>
        </w:rPr>
        <w:t xml:space="preserve">de </w:t>
      </w:r>
      <w:r w:rsidR="00D7168F">
        <w:rPr>
          <w:rFonts w:ascii="Arial" w:eastAsia="Arial" w:hAnsi="Arial" w:cs="Arial"/>
          <w:b/>
          <w:sz w:val="22"/>
          <w:szCs w:val="22"/>
        </w:rPr>
        <w:t>diciembre</w:t>
      </w:r>
      <w:r w:rsidR="00D7168F" w:rsidRPr="00584891">
        <w:rPr>
          <w:rFonts w:ascii="Arial" w:eastAsia="Arial" w:hAnsi="Arial" w:cs="Arial"/>
          <w:b/>
          <w:sz w:val="22"/>
          <w:szCs w:val="22"/>
        </w:rPr>
        <w:t xml:space="preserve"> </w:t>
      </w:r>
      <w:r w:rsidRPr="00584891">
        <w:rPr>
          <w:rFonts w:ascii="Arial" w:eastAsia="Arial" w:hAnsi="Arial" w:cs="Arial"/>
          <w:b/>
          <w:sz w:val="22"/>
          <w:szCs w:val="22"/>
        </w:rPr>
        <w:t>de 2024.-</w:t>
      </w:r>
      <w:bookmarkStart w:id="3" w:name="_Hlk113557102"/>
      <w:r w:rsidRPr="00584891">
        <w:rPr>
          <w:rFonts w:ascii="Arial" w:eastAsia="Arial" w:hAnsi="Arial" w:cs="Arial"/>
          <w:b/>
          <w:sz w:val="22"/>
          <w:szCs w:val="22"/>
        </w:rPr>
        <w:t xml:space="preserve"> </w:t>
      </w:r>
      <w:bookmarkStart w:id="4" w:name="_Hlk137140302"/>
      <w:r w:rsidR="002D0F93">
        <w:rPr>
          <w:rFonts w:ascii="Arial" w:eastAsia="Arial" w:hAnsi="Arial" w:cs="Arial"/>
          <w:bCs/>
          <w:sz w:val="22"/>
          <w:szCs w:val="22"/>
        </w:rPr>
        <w:t xml:space="preserve">Las empresas de </w:t>
      </w:r>
      <w:r w:rsidR="00567779">
        <w:rPr>
          <w:rFonts w:ascii="Arial" w:eastAsia="Arial" w:hAnsi="Arial" w:cs="Arial"/>
          <w:bCs/>
          <w:sz w:val="22"/>
          <w:szCs w:val="22"/>
        </w:rPr>
        <w:t>Salud y farmacia se muestra</w:t>
      </w:r>
      <w:r w:rsidR="002D0F93">
        <w:rPr>
          <w:rFonts w:ascii="Arial" w:eastAsia="Arial" w:hAnsi="Arial" w:cs="Arial"/>
          <w:bCs/>
          <w:sz w:val="22"/>
          <w:szCs w:val="22"/>
        </w:rPr>
        <w:t>n</w:t>
      </w:r>
      <w:r w:rsidR="00567779">
        <w:rPr>
          <w:rFonts w:ascii="Arial" w:eastAsia="Arial" w:hAnsi="Arial" w:cs="Arial"/>
          <w:bCs/>
          <w:sz w:val="22"/>
          <w:szCs w:val="22"/>
        </w:rPr>
        <w:t xml:space="preserve"> optimista</w:t>
      </w:r>
      <w:r w:rsidR="002D0F93">
        <w:rPr>
          <w:rFonts w:ascii="Arial" w:eastAsia="Arial" w:hAnsi="Arial" w:cs="Arial"/>
          <w:bCs/>
          <w:sz w:val="22"/>
          <w:szCs w:val="22"/>
        </w:rPr>
        <w:t>s</w:t>
      </w:r>
      <w:r w:rsidR="00567779">
        <w:rPr>
          <w:rFonts w:ascii="Arial" w:eastAsia="Arial" w:hAnsi="Arial" w:cs="Arial"/>
          <w:bCs/>
          <w:sz w:val="22"/>
          <w:szCs w:val="22"/>
        </w:rPr>
        <w:t xml:space="preserve"> en sus estimaciones para la creación de empleo </w:t>
      </w:r>
      <w:r w:rsidR="003C4899">
        <w:rPr>
          <w:rFonts w:ascii="Arial" w:eastAsia="Arial" w:hAnsi="Arial" w:cs="Arial"/>
          <w:bCs/>
          <w:sz w:val="22"/>
          <w:szCs w:val="22"/>
        </w:rPr>
        <w:t>en</w:t>
      </w:r>
      <w:r w:rsidR="00567779">
        <w:rPr>
          <w:rFonts w:ascii="Arial" w:eastAsia="Arial" w:hAnsi="Arial" w:cs="Arial"/>
          <w:bCs/>
          <w:sz w:val="22"/>
          <w:szCs w:val="22"/>
        </w:rPr>
        <w:t xml:space="preserve"> los primeros</w:t>
      </w:r>
      <w:r w:rsidR="003D6C61">
        <w:rPr>
          <w:rFonts w:ascii="Arial" w:eastAsia="Arial" w:hAnsi="Arial" w:cs="Arial"/>
          <w:bCs/>
          <w:sz w:val="22"/>
          <w:szCs w:val="22"/>
        </w:rPr>
        <w:t xml:space="preserve"> tres</w:t>
      </w:r>
      <w:r w:rsidR="00567779">
        <w:rPr>
          <w:rFonts w:ascii="Arial" w:eastAsia="Arial" w:hAnsi="Arial" w:cs="Arial"/>
          <w:bCs/>
          <w:sz w:val="22"/>
          <w:szCs w:val="22"/>
        </w:rPr>
        <w:t xml:space="preserve"> meses del año </w:t>
      </w:r>
      <w:r w:rsidR="00EA47E3">
        <w:rPr>
          <w:rFonts w:ascii="Arial" w:eastAsia="Arial" w:hAnsi="Arial" w:cs="Arial"/>
          <w:bCs/>
          <w:sz w:val="22"/>
          <w:szCs w:val="22"/>
        </w:rPr>
        <w:t>y maneja</w:t>
      </w:r>
      <w:r w:rsidR="003D6C61">
        <w:rPr>
          <w:rFonts w:ascii="Arial" w:eastAsia="Arial" w:hAnsi="Arial" w:cs="Arial"/>
          <w:bCs/>
          <w:sz w:val="22"/>
          <w:szCs w:val="22"/>
        </w:rPr>
        <w:t xml:space="preserve">n </w:t>
      </w:r>
      <w:r w:rsidR="00567779">
        <w:rPr>
          <w:rFonts w:ascii="Arial" w:eastAsia="Arial" w:hAnsi="Arial" w:cs="Arial"/>
          <w:bCs/>
          <w:sz w:val="22"/>
          <w:szCs w:val="22"/>
        </w:rPr>
        <w:t>una</w:t>
      </w:r>
      <w:r w:rsidR="003C4899">
        <w:rPr>
          <w:rFonts w:ascii="Arial" w:eastAsia="Arial" w:hAnsi="Arial" w:cs="Arial"/>
          <w:bCs/>
          <w:sz w:val="22"/>
          <w:szCs w:val="22"/>
        </w:rPr>
        <w:t>s</w:t>
      </w:r>
      <w:r w:rsidR="00567779">
        <w:rPr>
          <w:rFonts w:ascii="Arial" w:eastAsia="Arial" w:hAnsi="Arial" w:cs="Arial"/>
          <w:bCs/>
          <w:sz w:val="22"/>
          <w:szCs w:val="22"/>
        </w:rPr>
        <w:t xml:space="preserve"> </w:t>
      </w:r>
      <w:r w:rsidR="003C4899">
        <w:rPr>
          <w:rFonts w:ascii="Arial" w:eastAsia="Arial" w:hAnsi="Arial" w:cs="Arial"/>
          <w:bCs/>
          <w:sz w:val="22"/>
          <w:szCs w:val="22"/>
        </w:rPr>
        <w:t>previsiones</w:t>
      </w:r>
      <w:r w:rsidR="00567779">
        <w:rPr>
          <w:rFonts w:ascii="Arial" w:eastAsia="Arial" w:hAnsi="Arial" w:cs="Arial"/>
          <w:bCs/>
          <w:sz w:val="22"/>
          <w:szCs w:val="22"/>
        </w:rPr>
        <w:t xml:space="preserve"> neta</w:t>
      </w:r>
      <w:r w:rsidR="003C4899">
        <w:rPr>
          <w:rFonts w:ascii="Arial" w:eastAsia="Arial" w:hAnsi="Arial" w:cs="Arial"/>
          <w:bCs/>
          <w:sz w:val="22"/>
          <w:szCs w:val="22"/>
        </w:rPr>
        <w:t>s</w:t>
      </w:r>
      <w:r w:rsidR="00567779">
        <w:rPr>
          <w:rFonts w:ascii="Arial" w:eastAsia="Arial" w:hAnsi="Arial" w:cs="Arial"/>
          <w:bCs/>
          <w:sz w:val="22"/>
          <w:szCs w:val="22"/>
        </w:rPr>
        <w:t xml:space="preserve"> de </w:t>
      </w:r>
      <w:r w:rsidR="003C4899">
        <w:rPr>
          <w:rFonts w:ascii="Arial" w:eastAsia="Arial" w:hAnsi="Arial" w:cs="Arial"/>
          <w:bCs/>
          <w:sz w:val="22"/>
          <w:szCs w:val="22"/>
        </w:rPr>
        <w:t>contratación</w:t>
      </w:r>
      <w:r w:rsidR="00567779">
        <w:rPr>
          <w:rFonts w:ascii="Arial" w:eastAsia="Arial" w:hAnsi="Arial" w:cs="Arial"/>
          <w:bCs/>
          <w:sz w:val="22"/>
          <w:szCs w:val="22"/>
        </w:rPr>
        <w:t xml:space="preserve"> del 17%, </w:t>
      </w:r>
      <w:r w:rsidR="003D6C61">
        <w:rPr>
          <w:rFonts w:ascii="Arial" w:eastAsia="Arial" w:hAnsi="Arial" w:cs="Arial"/>
          <w:bCs/>
          <w:sz w:val="22"/>
          <w:szCs w:val="22"/>
        </w:rPr>
        <w:t xml:space="preserve">el </w:t>
      </w:r>
      <w:r w:rsidR="00567779">
        <w:rPr>
          <w:rFonts w:ascii="Arial" w:eastAsia="Arial" w:hAnsi="Arial" w:cs="Arial"/>
          <w:bCs/>
          <w:sz w:val="22"/>
          <w:szCs w:val="22"/>
        </w:rPr>
        <w:t>mismo dato que la media nacional</w:t>
      </w:r>
      <w:r w:rsidR="00307DEC">
        <w:rPr>
          <w:rFonts w:ascii="Arial" w:eastAsia="Arial" w:hAnsi="Arial" w:cs="Arial"/>
          <w:bCs/>
          <w:sz w:val="22"/>
          <w:szCs w:val="22"/>
        </w:rPr>
        <w:t>, s</w:t>
      </w:r>
      <w:r w:rsidR="00567779">
        <w:rPr>
          <w:rFonts w:ascii="Arial" w:eastAsia="Arial" w:hAnsi="Arial" w:cs="Arial"/>
          <w:bCs/>
          <w:sz w:val="22"/>
          <w:szCs w:val="22"/>
        </w:rPr>
        <w:t>egún recoge el Estudio de Proyección de Empleo de ManpowerGroup</w:t>
      </w:r>
      <w:r w:rsidR="00307DEC">
        <w:rPr>
          <w:rFonts w:ascii="Arial" w:eastAsia="Arial" w:hAnsi="Arial" w:cs="Arial"/>
          <w:bCs/>
          <w:sz w:val="22"/>
          <w:szCs w:val="22"/>
        </w:rPr>
        <w:t xml:space="preserve">. </w:t>
      </w:r>
      <w:r w:rsidR="00352F56">
        <w:rPr>
          <w:rFonts w:ascii="Arial" w:eastAsia="Arial" w:hAnsi="Arial" w:cs="Arial"/>
          <w:bCs/>
          <w:sz w:val="22"/>
          <w:szCs w:val="22"/>
        </w:rPr>
        <w:t>El arranque de año es positivo para el sector ya que e</w:t>
      </w:r>
      <w:r w:rsidR="00307DEC">
        <w:rPr>
          <w:rFonts w:ascii="Arial" w:eastAsia="Arial" w:hAnsi="Arial" w:cs="Arial"/>
          <w:bCs/>
          <w:sz w:val="22"/>
          <w:szCs w:val="22"/>
        </w:rPr>
        <w:t>sta cifra supone un aumento de 9 puntos respecto al último trimestre de 2024 y 6 en la comparativa interanual.</w:t>
      </w:r>
    </w:p>
    <w:p w14:paraId="4A51DC30" w14:textId="603F69BC" w:rsidR="003C4899" w:rsidRDefault="00EA47E3" w:rsidP="003C4899">
      <w:pPr>
        <w:spacing w:before="120" w:line="288" w:lineRule="auto"/>
        <w:jc w:val="both"/>
        <w:rPr>
          <w:rFonts w:ascii="Arial" w:eastAsia="Arial" w:hAnsi="Arial" w:cs="Arial"/>
          <w:bCs/>
          <w:sz w:val="22"/>
          <w:szCs w:val="22"/>
        </w:rPr>
      </w:pPr>
      <w:r>
        <w:rPr>
          <w:rFonts w:ascii="Arial" w:eastAsia="Arial" w:hAnsi="Arial" w:cs="Arial"/>
          <w:bCs/>
          <w:sz w:val="22"/>
          <w:szCs w:val="22"/>
        </w:rPr>
        <w:t>De esta forma, el 36% de las empresas del sector anticipan que aumentarán su</w:t>
      </w:r>
      <w:r w:rsidR="003C4899">
        <w:rPr>
          <w:rFonts w:ascii="Arial" w:eastAsia="Arial" w:hAnsi="Arial" w:cs="Arial"/>
          <w:bCs/>
          <w:sz w:val="22"/>
          <w:szCs w:val="22"/>
        </w:rPr>
        <w:t>s</w:t>
      </w:r>
      <w:r>
        <w:rPr>
          <w:rFonts w:ascii="Arial" w:eastAsia="Arial" w:hAnsi="Arial" w:cs="Arial"/>
          <w:bCs/>
          <w:sz w:val="22"/>
          <w:szCs w:val="22"/>
        </w:rPr>
        <w:t xml:space="preserve"> plantillas, </w:t>
      </w:r>
      <w:r w:rsidR="003C4899">
        <w:rPr>
          <w:rFonts w:ascii="Arial" w:eastAsia="Arial" w:hAnsi="Arial" w:cs="Arial"/>
          <w:bCs/>
          <w:sz w:val="22"/>
          <w:szCs w:val="22"/>
        </w:rPr>
        <w:t xml:space="preserve">mientras que </w:t>
      </w:r>
      <w:r>
        <w:rPr>
          <w:rFonts w:ascii="Arial" w:eastAsia="Arial" w:hAnsi="Arial" w:cs="Arial"/>
          <w:bCs/>
          <w:sz w:val="22"/>
          <w:szCs w:val="22"/>
        </w:rPr>
        <w:t>4 de cada 10 prevé mantenerlas y solo un 19% estima una reducción.</w:t>
      </w:r>
    </w:p>
    <w:p w14:paraId="303003AE" w14:textId="1A6658D9" w:rsidR="00EA47E3" w:rsidRPr="003C4899" w:rsidRDefault="00EA47E3" w:rsidP="003C4899">
      <w:pPr>
        <w:spacing w:before="120" w:line="288" w:lineRule="auto"/>
        <w:jc w:val="both"/>
        <w:rPr>
          <w:rFonts w:ascii="Arial" w:eastAsia="Arial" w:hAnsi="Arial" w:cs="Arial"/>
          <w:bCs/>
          <w:sz w:val="22"/>
          <w:szCs w:val="22"/>
        </w:rPr>
      </w:pPr>
      <w:r>
        <w:rPr>
          <w:rFonts w:ascii="Arial" w:eastAsia="Arial" w:hAnsi="Arial" w:cs="Arial"/>
          <w:sz w:val="22"/>
          <w:szCs w:val="22"/>
        </w:rPr>
        <w:t xml:space="preserve">Según analiza </w:t>
      </w:r>
      <w:r w:rsidR="002D0F93">
        <w:rPr>
          <w:rFonts w:ascii="Arial" w:eastAsia="Arial" w:hAnsi="Arial" w:cs="Arial"/>
          <w:b/>
          <w:bCs/>
          <w:sz w:val="22"/>
          <w:szCs w:val="22"/>
        </w:rPr>
        <w:t>Idoya Jordán</w:t>
      </w:r>
      <w:r>
        <w:rPr>
          <w:rFonts w:ascii="Arial" w:eastAsia="Arial" w:hAnsi="Arial" w:cs="Arial"/>
          <w:b/>
          <w:bCs/>
          <w:sz w:val="22"/>
          <w:szCs w:val="22"/>
        </w:rPr>
        <w:t xml:space="preserve">, </w:t>
      </w:r>
      <w:r w:rsidRPr="00E737B1">
        <w:rPr>
          <w:rFonts w:ascii="Arial" w:eastAsia="Arial" w:hAnsi="Arial" w:cs="Arial"/>
          <w:b/>
          <w:bCs/>
          <w:sz w:val="22"/>
          <w:szCs w:val="22"/>
        </w:rPr>
        <w:t>director</w:t>
      </w:r>
      <w:r w:rsidR="002D0F93">
        <w:rPr>
          <w:rFonts w:ascii="Arial" w:eastAsia="Arial" w:hAnsi="Arial" w:cs="Arial"/>
          <w:b/>
          <w:bCs/>
          <w:sz w:val="22"/>
          <w:szCs w:val="22"/>
        </w:rPr>
        <w:t>a</w:t>
      </w:r>
      <w:r w:rsidRPr="00E737B1">
        <w:rPr>
          <w:rFonts w:ascii="Arial" w:eastAsia="Arial" w:hAnsi="Arial" w:cs="Arial"/>
          <w:b/>
          <w:bCs/>
          <w:sz w:val="22"/>
          <w:szCs w:val="22"/>
        </w:rPr>
        <w:t xml:space="preserve"> </w:t>
      </w:r>
      <w:r>
        <w:rPr>
          <w:rFonts w:ascii="Arial" w:eastAsia="Arial" w:hAnsi="Arial" w:cs="Arial"/>
          <w:b/>
          <w:bCs/>
          <w:sz w:val="22"/>
          <w:szCs w:val="22"/>
        </w:rPr>
        <w:t>c</w:t>
      </w:r>
      <w:r w:rsidRPr="00E737B1">
        <w:rPr>
          <w:rFonts w:ascii="Arial" w:eastAsia="Arial" w:hAnsi="Arial" w:cs="Arial"/>
          <w:b/>
          <w:bCs/>
          <w:sz w:val="22"/>
          <w:szCs w:val="22"/>
        </w:rPr>
        <w:t>orporativ</w:t>
      </w:r>
      <w:r w:rsidR="002D0F93">
        <w:rPr>
          <w:rFonts w:ascii="Arial" w:eastAsia="Arial" w:hAnsi="Arial" w:cs="Arial"/>
          <w:b/>
          <w:bCs/>
          <w:sz w:val="22"/>
          <w:szCs w:val="22"/>
        </w:rPr>
        <w:t>a</w:t>
      </w:r>
      <w:r w:rsidRPr="00E737B1">
        <w:rPr>
          <w:rFonts w:ascii="Arial" w:eastAsia="Arial" w:hAnsi="Arial" w:cs="Arial"/>
          <w:b/>
          <w:bCs/>
          <w:sz w:val="22"/>
          <w:szCs w:val="22"/>
        </w:rPr>
        <w:t xml:space="preserve"> </w:t>
      </w:r>
      <w:r>
        <w:rPr>
          <w:rFonts w:ascii="Arial" w:eastAsia="Arial" w:hAnsi="Arial" w:cs="Arial"/>
          <w:b/>
          <w:bCs/>
          <w:sz w:val="22"/>
          <w:szCs w:val="22"/>
        </w:rPr>
        <w:t xml:space="preserve">de </w:t>
      </w:r>
      <w:r w:rsidRPr="00E737B1">
        <w:rPr>
          <w:rFonts w:ascii="Arial" w:eastAsia="Arial" w:hAnsi="Arial" w:cs="Arial"/>
          <w:b/>
          <w:bCs/>
          <w:sz w:val="22"/>
          <w:szCs w:val="22"/>
        </w:rPr>
        <w:t xml:space="preserve">Salud y </w:t>
      </w:r>
      <w:r w:rsidR="002D0F93">
        <w:rPr>
          <w:rFonts w:ascii="Arial" w:eastAsia="Arial" w:hAnsi="Arial" w:cs="Arial"/>
          <w:b/>
          <w:bCs/>
          <w:sz w:val="22"/>
          <w:szCs w:val="22"/>
        </w:rPr>
        <w:t>f</w:t>
      </w:r>
      <w:r w:rsidRPr="00E737B1">
        <w:rPr>
          <w:rFonts w:ascii="Arial" w:eastAsia="Arial" w:hAnsi="Arial" w:cs="Arial"/>
          <w:b/>
          <w:bCs/>
          <w:sz w:val="22"/>
          <w:szCs w:val="22"/>
        </w:rPr>
        <w:t>armacia</w:t>
      </w:r>
      <w:r>
        <w:rPr>
          <w:rFonts w:ascii="Arial" w:eastAsia="Arial" w:hAnsi="Arial" w:cs="Arial"/>
          <w:b/>
          <w:bCs/>
          <w:sz w:val="22"/>
          <w:szCs w:val="22"/>
        </w:rPr>
        <w:t xml:space="preserve"> de </w:t>
      </w:r>
      <w:r w:rsidRPr="00E737B1">
        <w:rPr>
          <w:rFonts w:ascii="Arial" w:eastAsia="Arial" w:hAnsi="Arial" w:cs="Arial"/>
          <w:b/>
          <w:bCs/>
          <w:sz w:val="22"/>
          <w:szCs w:val="22"/>
        </w:rPr>
        <w:t>ManpowerGroup</w:t>
      </w:r>
      <w:r>
        <w:rPr>
          <w:rFonts w:ascii="Arial" w:eastAsia="Arial" w:hAnsi="Arial" w:cs="Arial"/>
          <w:sz w:val="22"/>
          <w:szCs w:val="22"/>
        </w:rPr>
        <w:t xml:space="preserve">, </w:t>
      </w:r>
      <w:r w:rsidRPr="00FB7384">
        <w:rPr>
          <w:rFonts w:ascii="Arial" w:eastAsia="Arial" w:hAnsi="Arial" w:cs="Arial"/>
          <w:i/>
          <w:iCs/>
          <w:sz w:val="22"/>
          <w:szCs w:val="22"/>
        </w:rPr>
        <w:t>“</w:t>
      </w:r>
      <w:r w:rsidR="00D3673B">
        <w:rPr>
          <w:rFonts w:ascii="Arial" w:eastAsia="Arial" w:hAnsi="Arial" w:cs="Arial"/>
          <w:i/>
          <w:iCs/>
          <w:sz w:val="22"/>
          <w:szCs w:val="22"/>
        </w:rPr>
        <w:t>el sector se mantiene optimista el primer trimestre del año gracias a varios factores estratégicos que impulsan su crecimiento y estabilidad</w:t>
      </w:r>
      <w:r w:rsidR="00352F56">
        <w:rPr>
          <w:rFonts w:ascii="Arial" w:eastAsia="Arial" w:hAnsi="Arial" w:cs="Arial"/>
          <w:i/>
          <w:iCs/>
          <w:sz w:val="22"/>
          <w:szCs w:val="22"/>
        </w:rPr>
        <w:t>, como l</w:t>
      </w:r>
      <w:r w:rsidR="00D3673B">
        <w:rPr>
          <w:rFonts w:ascii="Arial" w:eastAsia="Arial" w:hAnsi="Arial" w:cs="Arial"/>
          <w:i/>
          <w:iCs/>
          <w:sz w:val="22"/>
          <w:szCs w:val="22"/>
        </w:rPr>
        <w:t>a inversión continua en I+D</w:t>
      </w:r>
      <w:r w:rsidR="00352F56">
        <w:rPr>
          <w:rFonts w:ascii="Arial" w:eastAsia="Arial" w:hAnsi="Arial" w:cs="Arial"/>
          <w:i/>
          <w:iCs/>
          <w:sz w:val="22"/>
          <w:szCs w:val="22"/>
        </w:rPr>
        <w:t xml:space="preserve"> o</w:t>
      </w:r>
      <w:r w:rsidR="00D3673B">
        <w:rPr>
          <w:rFonts w:ascii="Arial" w:eastAsia="Arial" w:hAnsi="Arial" w:cs="Arial"/>
          <w:i/>
          <w:iCs/>
          <w:sz w:val="22"/>
          <w:szCs w:val="22"/>
        </w:rPr>
        <w:t xml:space="preserve"> el aumento de la demanda de servicios médicos </w:t>
      </w:r>
      <w:r w:rsidR="00352F56">
        <w:rPr>
          <w:rFonts w:ascii="Arial" w:eastAsia="Arial" w:hAnsi="Arial" w:cs="Arial"/>
          <w:i/>
          <w:iCs/>
          <w:sz w:val="22"/>
          <w:szCs w:val="22"/>
        </w:rPr>
        <w:t xml:space="preserve">y de atención </w:t>
      </w:r>
      <w:r w:rsidR="00D3673B">
        <w:rPr>
          <w:rFonts w:ascii="Arial" w:eastAsia="Arial" w:hAnsi="Arial" w:cs="Arial"/>
          <w:i/>
          <w:iCs/>
          <w:sz w:val="22"/>
          <w:szCs w:val="22"/>
        </w:rPr>
        <w:t>personalizados</w:t>
      </w:r>
      <w:r w:rsidR="00352F56">
        <w:rPr>
          <w:rFonts w:ascii="Arial" w:eastAsia="Arial" w:hAnsi="Arial" w:cs="Arial"/>
          <w:i/>
          <w:iCs/>
          <w:sz w:val="22"/>
          <w:szCs w:val="22"/>
        </w:rPr>
        <w:t xml:space="preserve">. Esto </w:t>
      </w:r>
      <w:r w:rsidR="00D3673B">
        <w:rPr>
          <w:rFonts w:ascii="Arial" w:eastAsia="Arial" w:hAnsi="Arial" w:cs="Arial"/>
          <w:i/>
          <w:iCs/>
          <w:sz w:val="22"/>
          <w:szCs w:val="22"/>
        </w:rPr>
        <w:t>genera oportunidades para los profesionales y</w:t>
      </w:r>
      <w:r w:rsidR="00352F56">
        <w:rPr>
          <w:rFonts w:ascii="Arial" w:eastAsia="Arial" w:hAnsi="Arial" w:cs="Arial"/>
          <w:i/>
          <w:iCs/>
          <w:sz w:val="22"/>
          <w:szCs w:val="22"/>
        </w:rPr>
        <w:t>, además,</w:t>
      </w:r>
      <w:r w:rsidR="00D3673B">
        <w:rPr>
          <w:rFonts w:ascii="Arial" w:eastAsia="Arial" w:hAnsi="Arial" w:cs="Arial"/>
          <w:i/>
          <w:iCs/>
          <w:sz w:val="22"/>
          <w:szCs w:val="22"/>
        </w:rPr>
        <w:t xml:space="preserve"> refuerza </w:t>
      </w:r>
      <w:r w:rsidR="00352F56">
        <w:rPr>
          <w:rFonts w:ascii="Arial" w:eastAsia="Arial" w:hAnsi="Arial" w:cs="Arial"/>
          <w:i/>
          <w:iCs/>
          <w:sz w:val="22"/>
          <w:szCs w:val="22"/>
        </w:rPr>
        <w:t xml:space="preserve">el </w:t>
      </w:r>
      <w:r w:rsidR="00D3673B">
        <w:rPr>
          <w:rFonts w:ascii="Arial" w:eastAsia="Arial" w:hAnsi="Arial" w:cs="Arial"/>
          <w:i/>
          <w:iCs/>
          <w:sz w:val="22"/>
          <w:szCs w:val="22"/>
        </w:rPr>
        <w:t xml:space="preserve">atractivo </w:t>
      </w:r>
      <w:r w:rsidR="00352F56">
        <w:rPr>
          <w:rFonts w:ascii="Arial" w:eastAsia="Arial" w:hAnsi="Arial" w:cs="Arial"/>
          <w:i/>
          <w:iCs/>
          <w:sz w:val="22"/>
          <w:szCs w:val="22"/>
        </w:rPr>
        <w:t xml:space="preserve">del sector </w:t>
      </w:r>
      <w:r w:rsidR="00D3673B">
        <w:rPr>
          <w:rFonts w:ascii="Arial" w:eastAsia="Arial" w:hAnsi="Arial" w:cs="Arial"/>
          <w:i/>
          <w:iCs/>
          <w:sz w:val="22"/>
          <w:szCs w:val="22"/>
        </w:rPr>
        <w:t>como industria</w:t>
      </w:r>
      <w:r w:rsidR="00352F56">
        <w:rPr>
          <w:rFonts w:ascii="Arial" w:eastAsia="Arial" w:hAnsi="Arial" w:cs="Arial"/>
          <w:i/>
          <w:iCs/>
          <w:sz w:val="22"/>
          <w:szCs w:val="22"/>
        </w:rPr>
        <w:t xml:space="preserve"> en la que desarrollar una carrera de éxito</w:t>
      </w:r>
      <w:r w:rsidRPr="00FB7384">
        <w:rPr>
          <w:rFonts w:ascii="Arial" w:eastAsia="Arial" w:hAnsi="Arial" w:cs="Arial"/>
          <w:i/>
          <w:iCs/>
          <w:sz w:val="22"/>
          <w:szCs w:val="22"/>
        </w:rPr>
        <w:t>”.</w:t>
      </w:r>
    </w:p>
    <w:p w14:paraId="6B5788E4" w14:textId="77777777" w:rsidR="0043179C" w:rsidRDefault="0043179C" w:rsidP="001828BD">
      <w:pPr>
        <w:spacing w:before="120" w:line="288" w:lineRule="auto"/>
        <w:jc w:val="both"/>
        <w:rPr>
          <w:rFonts w:ascii="Arial" w:eastAsia="Arial" w:hAnsi="Arial" w:cs="Arial"/>
          <w:sz w:val="22"/>
          <w:szCs w:val="22"/>
        </w:rPr>
      </w:pPr>
    </w:p>
    <w:p w14:paraId="137A563F" w14:textId="77777777" w:rsidR="004318DB" w:rsidRPr="009D4CEF" w:rsidRDefault="004318DB" w:rsidP="004318DB">
      <w:pPr>
        <w:spacing w:before="120" w:line="288" w:lineRule="auto"/>
        <w:jc w:val="both"/>
        <w:rPr>
          <w:rFonts w:ascii="Arial" w:eastAsia="Arial" w:hAnsi="Arial" w:cs="Arial"/>
          <w:b/>
          <w:bCs/>
          <w:sz w:val="22"/>
          <w:szCs w:val="22"/>
        </w:rPr>
      </w:pPr>
      <w:bookmarkStart w:id="5" w:name="_Hlk184914123"/>
      <w:r>
        <w:rPr>
          <w:rFonts w:ascii="Arial" w:eastAsia="Arial" w:hAnsi="Arial" w:cs="Arial"/>
          <w:b/>
          <w:bCs/>
          <w:sz w:val="22"/>
          <w:szCs w:val="22"/>
        </w:rPr>
        <w:t>Tecnología encabeza las previsiones de generación de empleo en España</w:t>
      </w:r>
    </w:p>
    <w:bookmarkEnd w:id="5"/>
    <w:p w14:paraId="5EA01103" w14:textId="0B540ACE" w:rsidR="0013008D" w:rsidRDefault="00F82ABD" w:rsidP="00555D20">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empresas </w:t>
      </w:r>
      <w:r w:rsidR="009C5491">
        <w:rPr>
          <w:rFonts w:ascii="Arial" w:eastAsia="Arial" w:hAnsi="Arial" w:cs="Arial"/>
          <w:bCs/>
          <w:sz w:val="22"/>
          <w:szCs w:val="22"/>
        </w:rPr>
        <w:t xml:space="preserve">de </w:t>
      </w:r>
      <w:r w:rsidR="009C5491" w:rsidRPr="009C5491">
        <w:rPr>
          <w:rFonts w:ascii="Arial" w:eastAsia="Arial" w:hAnsi="Arial" w:cs="Arial"/>
          <w:b/>
          <w:sz w:val="22"/>
          <w:szCs w:val="22"/>
        </w:rPr>
        <w:t>Tecnología</w:t>
      </w:r>
      <w:r>
        <w:rPr>
          <w:rFonts w:ascii="Arial" w:eastAsia="Arial" w:hAnsi="Arial" w:cs="Arial"/>
          <w:bCs/>
          <w:sz w:val="22"/>
          <w:szCs w:val="22"/>
        </w:rPr>
        <w:t xml:space="preserve"> inician el año como las más optimistas con unas previsiones netas de generación de empleo del 27%, 10 puntos por encima de la media nacional. </w:t>
      </w:r>
    </w:p>
    <w:p w14:paraId="7DE05AAD" w14:textId="1C6ECB18" w:rsidR="00E67A01" w:rsidRDefault="00E67A01" w:rsidP="00555D20">
      <w:pPr>
        <w:spacing w:before="120" w:line="288" w:lineRule="auto"/>
        <w:jc w:val="both"/>
        <w:rPr>
          <w:rFonts w:ascii="Arial" w:eastAsia="Arial" w:hAnsi="Arial" w:cs="Arial"/>
          <w:bCs/>
          <w:sz w:val="22"/>
          <w:szCs w:val="22"/>
        </w:rPr>
      </w:pPr>
      <w:r>
        <w:rPr>
          <w:rFonts w:ascii="Arial" w:eastAsia="Arial" w:hAnsi="Arial" w:cs="Arial"/>
          <w:bCs/>
          <w:sz w:val="22"/>
          <w:szCs w:val="22"/>
        </w:rPr>
        <w:t>Por su parte, en segunda posición del ranki</w:t>
      </w:r>
      <w:r w:rsidR="003C4899">
        <w:rPr>
          <w:rFonts w:ascii="Arial" w:eastAsia="Arial" w:hAnsi="Arial" w:cs="Arial"/>
          <w:bCs/>
          <w:sz w:val="22"/>
          <w:szCs w:val="22"/>
        </w:rPr>
        <w:t>n</w:t>
      </w:r>
      <w:r>
        <w:rPr>
          <w:rFonts w:ascii="Arial" w:eastAsia="Arial" w:hAnsi="Arial" w:cs="Arial"/>
          <w:bCs/>
          <w:sz w:val="22"/>
          <w:szCs w:val="22"/>
        </w:rPr>
        <w:t xml:space="preserve">g se encuentran, ambos con un 20% de perspectivas de generación de empleo, </w:t>
      </w:r>
      <w:r w:rsidRPr="003C4899">
        <w:rPr>
          <w:rFonts w:ascii="Arial" w:eastAsia="Arial" w:hAnsi="Arial" w:cs="Arial"/>
          <w:b/>
          <w:sz w:val="22"/>
          <w:szCs w:val="22"/>
        </w:rPr>
        <w:t xml:space="preserve">Transporte, logística y </w:t>
      </w:r>
      <w:r w:rsidR="003C4899" w:rsidRPr="003C4899">
        <w:rPr>
          <w:rFonts w:ascii="Arial" w:eastAsia="Arial" w:hAnsi="Arial" w:cs="Arial"/>
          <w:b/>
          <w:sz w:val="22"/>
          <w:szCs w:val="22"/>
        </w:rPr>
        <w:t>automación</w:t>
      </w:r>
      <w:r>
        <w:rPr>
          <w:rFonts w:ascii="Arial" w:eastAsia="Arial" w:hAnsi="Arial" w:cs="Arial"/>
          <w:bCs/>
          <w:sz w:val="22"/>
          <w:szCs w:val="22"/>
        </w:rPr>
        <w:t xml:space="preserve">, que el trimestre anterior registraba 11 puntos menos; y </w:t>
      </w:r>
      <w:r w:rsidRPr="003C4899">
        <w:rPr>
          <w:rFonts w:ascii="Arial" w:eastAsia="Arial" w:hAnsi="Arial" w:cs="Arial"/>
          <w:b/>
          <w:sz w:val="22"/>
          <w:szCs w:val="22"/>
        </w:rPr>
        <w:t>Publicidad y comunicación</w:t>
      </w:r>
      <w:r>
        <w:rPr>
          <w:rFonts w:ascii="Arial" w:eastAsia="Arial" w:hAnsi="Arial" w:cs="Arial"/>
          <w:bCs/>
          <w:sz w:val="22"/>
          <w:szCs w:val="22"/>
        </w:rPr>
        <w:t xml:space="preserve">, que revierte la tendencia </w:t>
      </w:r>
      <w:r>
        <w:rPr>
          <w:rFonts w:ascii="Arial" w:eastAsia="Arial" w:hAnsi="Arial" w:cs="Arial"/>
          <w:bCs/>
          <w:sz w:val="22"/>
          <w:szCs w:val="22"/>
        </w:rPr>
        <w:lastRenderedPageBreak/>
        <w:t xml:space="preserve">negativa de los últimos trimestres y remonta con un notable incremento de 25 puntos. Le siguen de cerca las empresas del ámbito </w:t>
      </w:r>
      <w:r w:rsidRPr="003C4899">
        <w:rPr>
          <w:rFonts w:ascii="Arial" w:eastAsia="Arial" w:hAnsi="Arial" w:cs="Arial"/>
          <w:b/>
          <w:sz w:val="22"/>
          <w:szCs w:val="22"/>
        </w:rPr>
        <w:t>Financiero e inmobiliario</w:t>
      </w:r>
      <w:r>
        <w:rPr>
          <w:rFonts w:ascii="Arial" w:eastAsia="Arial" w:hAnsi="Arial" w:cs="Arial"/>
          <w:bCs/>
          <w:sz w:val="22"/>
          <w:szCs w:val="22"/>
        </w:rPr>
        <w:t xml:space="preserve"> con unas previsiones de contratación del 18%. </w:t>
      </w:r>
    </w:p>
    <w:p w14:paraId="203EB0A0" w14:textId="60BB1BBE" w:rsidR="00E87B2B" w:rsidRDefault="00E87B2B" w:rsidP="00E87B2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el lado opuesto de la lista, a pesar de que en el inicio del año no se observa ninguna previsión negativa, el sector </w:t>
      </w:r>
      <w:r w:rsidRPr="000E662A">
        <w:rPr>
          <w:rFonts w:ascii="Arial" w:eastAsia="Arial" w:hAnsi="Arial" w:cs="Arial"/>
          <w:b/>
          <w:sz w:val="22"/>
          <w:szCs w:val="22"/>
        </w:rPr>
        <w:t>Energía y suministros</w:t>
      </w:r>
      <w:r>
        <w:rPr>
          <w:rFonts w:ascii="Arial" w:eastAsia="Arial" w:hAnsi="Arial" w:cs="Arial"/>
          <w:bCs/>
          <w:sz w:val="22"/>
          <w:szCs w:val="22"/>
        </w:rPr>
        <w:t xml:space="preserve"> registra un descenso de 22 puntos respecto al último trimestre de 2024 y se posiciona a la cola con un 2% de intención de contratación. </w:t>
      </w:r>
      <w:r w:rsidR="00E6199F">
        <w:rPr>
          <w:rFonts w:ascii="Arial" w:eastAsia="Arial" w:hAnsi="Arial" w:cs="Arial"/>
          <w:bCs/>
          <w:sz w:val="22"/>
          <w:szCs w:val="22"/>
        </w:rPr>
        <w:t xml:space="preserve">El escalón anterior lo ocupa </w:t>
      </w:r>
      <w:r w:rsidR="00E6199F" w:rsidRPr="000E662A">
        <w:rPr>
          <w:rFonts w:ascii="Arial" w:eastAsia="Arial" w:hAnsi="Arial" w:cs="Arial"/>
          <w:b/>
          <w:sz w:val="22"/>
          <w:szCs w:val="22"/>
        </w:rPr>
        <w:t>Bienes y servicios de consumo</w:t>
      </w:r>
      <w:r w:rsidR="00E6199F">
        <w:rPr>
          <w:rFonts w:ascii="Arial" w:eastAsia="Arial" w:hAnsi="Arial" w:cs="Arial"/>
          <w:bCs/>
          <w:sz w:val="22"/>
          <w:szCs w:val="22"/>
        </w:rPr>
        <w:t>, que desciende 14 puntos respecto al trimestre anterior y registra una previsión del 10%.</w:t>
      </w:r>
    </w:p>
    <w:p w14:paraId="2D8D120F" w14:textId="17FAA40A" w:rsidR="00830B2F" w:rsidRDefault="00830B2F" w:rsidP="00E87B2B">
      <w:pPr>
        <w:spacing w:before="120" w:line="288" w:lineRule="auto"/>
        <w:jc w:val="center"/>
        <w:rPr>
          <w:rFonts w:ascii="Arial" w:eastAsia="Arial" w:hAnsi="Arial" w:cs="Arial"/>
          <w:bCs/>
          <w:sz w:val="22"/>
          <w:szCs w:val="22"/>
        </w:rPr>
      </w:pPr>
      <w:r w:rsidRPr="00911D5D">
        <w:rPr>
          <w:rFonts w:ascii="Arial" w:eastAsiaTheme="minorEastAsia" w:hAnsi="Arial" w:cs="Arial"/>
          <w:b/>
          <w:bCs/>
          <w:i/>
          <w:iCs/>
          <w:noProof/>
          <w:sz w:val="18"/>
          <w:szCs w:val="18"/>
          <w:lang w:eastAsia="zh-CN"/>
        </w:rPr>
        <w:drawing>
          <wp:inline distT="0" distB="0" distL="0" distR="0" wp14:anchorId="0573DE44" wp14:editId="7266762A">
            <wp:extent cx="5706114" cy="2011680"/>
            <wp:effectExtent l="0" t="0" r="8890" b="7620"/>
            <wp:docPr id="1340412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12689"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709453" cy="2012857"/>
                    </a:xfrm>
                    <a:prstGeom prst="rect">
                      <a:avLst/>
                    </a:prstGeom>
                  </pic:spPr>
                </pic:pic>
              </a:graphicData>
            </a:graphic>
          </wp:inline>
        </w:drawing>
      </w:r>
    </w:p>
    <w:p w14:paraId="4628732B" w14:textId="1EF8E195" w:rsidR="00830B2F" w:rsidRDefault="00830B2F" w:rsidP="001828BD">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1828BD">
      <w:pPr>
        <w:spacing w:before="120" w:line="288" w:lineRule="auto"/>
        <w:jc w:val="both"/>
        <w:rPr>
          <w:rFonts w:ascii="Arial" w:eastAsia="Arial" w:hAnsi="Arial" w:cs="Arial"/>
          <w:bCs/>
          <w:sz w:val="22"/>
          <w:szCs w:val="22"/>
        </w:rPr>
      </w:pPr>
    </w:p>
    <w:p w14:paraId="2719C7E4" w14:textId="5580E150" w:rsidR="00F73932" w:rsidRDefault="004318DB" w:rsidP="001828BD">
      <w:pPr>
        <w:spacing w:before="120" w:line="288" w:lineRule="auto"/>
        <w:jc w:val="both"/>
        <w:rPr>
          <w:rFonts w:ascii="Arial" w:eastAsia="Arial" w:hAnsi="Arial" w:cs="Arial"/>
          <w:b/>
          <w:bCs/>
          <w:sz w:val="22"/>
          <w:szCs w:val="22"/>
        </w:rPr>
      </w:pPr>
      <w:bookmarkStart w:id="6" w:name="_Hlk184914146"/>
      <w:r>
        <w:rPr>
          <w:rFonts w:ascii="Arial" w:eastAsia="Arial" w:hAnsi="Arial" w:cs="Arial"/>
          <w:b/>
          <w:bCs/>
          <w:sz w:val="22"/>
          <w:szCs w:val="22"/>
        </w:rPr>
        <w:t>Salud y farmacia, en el pódium global</w:t>
      </w:r>
    </w:p>
    <w:p w14:paraId="064CF92B" w14:textId="7364077E" w:rsidR="00830B2F" w:rsidRPr="00830B2F" w:rsidRDefault="00BC0EE7" w:rsidP="001828BD">
      <w:pPr>
        <w:spacing w:before="120" w:line="288" w:lineRule="auto"/>
        <w:jc w:val="both"/>
        <w:rPr>
          <w:rFonts w:ascii="Arial" w:eastAsia="Arial" w:hAnsi="Arial" w:cs="Arial"/>
          <w:b/>
          <w:bCs/>
          <w:sz w:val="22"/>
          <w:szCs w:val="22"/>
        </w:rPr>
      </w:pPr>
      <w:bookmarkStart w:id="7" w:name="_Hlk177492645"/>
      <w:bookmarkEnd w:id="6"/>
      <w:r>
        <w:rPr>
          <w:rFonts w:ascii="Arial" w:eastAsia="Arial" w:hAnsi="Arial" w:cs="Arial"/>
          <w:sz w:val="22"/>
          <w:szCs w:val="22"/>
        </w:rPr>
        <w:t>En el análisis global, las empresas del sector tecnológico lideran el ranking una vez más y presentan previsiones positivas los primeros meses del año</w:t>
      </w:r>
      <w:r w:rsidR="000E662A">
        <w:rPr>
          <w:rFonts w:ascii="Arial" w:eastAsia="Arial" w:hAnsi="Arial" w:cs="Arial"/>
          <w:sz w:val="22"/>
          <w:szCs w:val="22"/>
        </w:rPr>
        <w:t xml:space="preserve"> con un 37% de expectativas de contratación, mejorando, además, </w:t>
      </w:r>
      <w:r>
        <w:rPr>
          <w:rFonts w:ascii="Arial" w:eastAsia="Arial" w:hAnsi="Arial" w:cs="Arial"/>
          <w:sz w:val="22"/>
          <w:szCs w:val="22"/>
        </w:rPr>
        <w:t>2 puntos respecto al trimestre anterior</w:t>
      </w:r>
      <w:r w:rsidR="000E662A">
        <w:rPr>
          <w:rFonts w:ascii="Arial" w:eastAsia="Arial" w:hAnsi="Arial" w:cs="Arial"/>
          <w:sz w:val="22"/>
          <w:szCs w:val="22"/>
        </w:rPr>
        <w:t>.</w:t>
      </w:r>
      <w:r w:rsidR="004318DB">
        <w:rPr>
          <w:rFonts w:ascii="Arial" w:eastAsia="Arial" w:hAnsi="Arial" w:cs="Arial"/>
          <w:sz w:val="22"/>
          <w:szCs w:val="22"/>
        </w:rPr>
        <w:t xml:space="preserve"> Le siguen de cerca las compañías del sector Financiero e inmobiliario (33%). </w:t>
      </w:r>
      <w:r w:rsidR="004318DB" w:rsidRPr="004318DB">
        <w:rPr>
          <w:rFonts w:ascii="Arial" w:eastAsia="Arial" w:hAnsi="Arial" w:cs="Arial"/>
          <w:b/>
          <w:bCs/>
          <w:sz w:val="22"/>
          <w:szCs w:val="22"/>
        </w:rPr>
        <w:t>Salud y farmacia</w:t>
      </w:r>
      <w:r w:rsidR="004318DB">
        <w:rPr>
          <w:rFonts w:ascii="Arial" w:eastAsia="Arial" w:hAnsi="Arial" w:cs="Arial"/>
          <w:sz w:val="22"/>
          <w:szCs w:val="22"/>
        </w:rPr>
        <w:t xml:space="preserve"> completa el pódium con </w:t>
      </w:r>
      <w:r w:rsidR="004318DB" w:rsidRPr="004318DB">
        <w:rPr>
          <w:rFonts w:ascii="Arial" w:eastAsia="Arial" w:hAnsi="Arial" w:cs="Arial"/>
          <w:b/>
          <w:bCs/>
          <w:sz w:val="22"/>
          <w:szCs w:val="22"/>
        </w:rPr>
        <w:t>un 27%</w:t>
      </w:r>
      <w:r w:rsidR="004318DB" w:rsidRPr="004318DB">
        <w:rPr>
          <w:rFonts w:ascii="Arial" w:eastAsia="Arial" w:hAnsi="Arial" w:cs="Arial"/>
          <w:sz w:val="22"/>
          <w:szCs w:val="22"/>
        </w:rPr>
        <w:t xml:space="preserve">, </w:t>
      </w:r>
      <w:r w:rsidR="00D9510D">
        <w:rPr>
          <w:rFonts w:ascii="Arial" w:eastAsia="Arial" w:hAnsi="Arial" w:cs="Arial"/>
          <w:sz w:val="22"/>
          <w:szCs w:val="22"/>
        </w:rPr>
        <w:t>2</w:t>
      </w:r>
      <w:r w:rsidR="004318DB">
        <w:rPr>
          <w:rFonts w:ascii="Arial" w:eastAsia="Arial" w:hAnsi="Arial" w:cs="Arial"/>
          <w:sz w:val="22"/>
          <w:szCs w:val="22"/>
        </w:rPr>
        <w:t xml:space="preserve"> puntos por encima de la media global (25%) y </w:t>
      </w:r>
      <w:r w:rsidR="004318DB" w:rsidRPr="004318DB">
        <w:rPr>
          <w:rFonts w:ascii="Arial" w:eastAsia="Arial" w:hAnsi="Arial" w:cs="Arial"/>
          <w:sz w:val="22"/>
          <w:szCs w:val="22"/>
        </w:rPr>
        <w:t xml:space="preserve">superando en 10 puntos el registro </w:t>
      </w:r>
      <w:r w:rsidR="004318DB">
        <w:rPr>
          <w:rFonts w:ascii="Arial" w:eastAsia="Arial" w:hAnsi="Arial" w:cs="Arial"/>
          <w:sz w:val="22"/>
          <w:szCs w:val="22"/>
        </w:rPr>
        <w:t xml:space="preserve">sectorial </w:t>
      </w:r>
      <w:r w:rsidR="004318DB" w:rsidRPr="004318DB">
        <w:rPr>
          <w:rFonts w:ascii="Arial" w:eastAsia="Arial" w:hAnsi="Arial" w:cs="Arial"/>
          <w:sz w:val="22"/>
          <w:szCs w:val="22"/>
        </w:rPr>
        <w:t>de España</w:t>
      </w:r>
      <w:r w:rsidR="004318DB">
        <w:rPr>
          <w:rFonts w:ascii="Arial" w:eastAsia="Arial" w:hAnsi="Arial" w:cs="Arial"/>
          <w:sz w:val="22"/>
          <w:szCs w:val="22"/>
        </w:rPr>
        <w:t xml:space="preserve">. </w:t>
      </w:r>
      <w:bookmarkEnd w:id="7"/>
      <w:r w:rsidR="004318DB">
        <w:rPr>
          <w:rFonts w:ascii="Arial" w:eastAsia="Arial" w:hAnsi="Arial" w:cs="Arial"/>
          <w:sz w:val="22"/>
          <w:szCs w:val="22"/>
        </w:rPr>
        <w:t>C</w:t>
      </w:r>
      <w:r w:rsidR="0067332C">
        <w:rPr>
          <w:rFonts w:ascii="Arial" w:eastAsia="Arial" w:hAnsi="Arial" w:cs="Arial"/>
          <w:sz w:val="22"/>
          <w:szCs w:val="22"/>
        </w:rPr>
        <w:t>ierra la clasificación</w:t>
      </w:r>
      <w:r w:rsidR="004318DB">
        <w:rPr>
          <w:rFonts w:ascii="Arial" w:eastAsia="Arial" w:hAnsi="Arial" w:cs="Arial"/>
          <w:sz w:val="22"/>
          <w:szCs w:val="22"/>
        </w:rPr>
        <w:t>, al igual que en el ranking nacional,</w:t>
      </w:r>
      <w:r w:rsidR="0067332C">
        <w:rPr>
          <w:rFonts w:ascii="Arial" w:eastAsia="Arial" w:hAnsi="Arial" w:cs="Arial"/>
          <w:sz w:val="22"/>
          <w:szCs w:val="22"/>
        </w:rPr>
        <w:t xml:space="preserve"> </w:t>
      </w:r>
      <w:r w:rsidR="00830B2F" w:rsidRPr="0036519F">
        <w:rPr>
          <w:rFonts w:ascii="Arial" w:eastAsia="Arial" w:hAnsi="Arial" w:cs="Arial"/>
          <w:sz w:val="22"/>
          <w:szCs w:val="22"/>
        </w:rPr>
        <w:t>Energía y suministros (</w:t>
      </w:r>
      <w:r w:rsidR="00FF5770">
        <w:rPr>
          <w:rFonts w:ascii="Arial" w:eastAsia="Arial" w:hAnsi="Arial" w:cs="Arial"/>
          <w:sz w:val="22"/>
          <w:szCs w:val="22"/>
        </w:rPr>
        <w:t>10</w:t>
      </w:r>
      <w:r w:rsidR="00830B2F" w:rsidRPr="0036519F">
        <w:rPr>
          <w:rFonts w:ascii="Arial" w:eastAsia="Arial" w:hAnsi="Arial" w:cs="Arial"/>
          <w:sz w:val="22"/>
          <w:szCs w:val="22"/>
        </w:rPr>
        <w:t>%).</w:t>
      </w:r>
    </w:p>
    <w:p w14:paraId="56E13614" w14:textId="4EEC048B" w:rsidR="00830B2F" w:rsidRDefault="00830B2F" w:rsidP="002B2305">
      <w:pPr>
        <w:spacing w:before="120" w:line="288" w:lineRule="auto"/>
        <w:jc w:val="center"/>
        <w:rPr>
          <w:rFonts w:ascii="Arial" w:eastAsia="Arial" w:hAnsi="Arial" w:cs="Arial"/>
          <w:bCs/>
          <w:sz w:val="22"/>
          <w:szCs w:val="22"/>
        </w:rPr>
      </w:pPr>
      <w:r w:rsidRPr="0036519F">
        <w:rPr>
          <w:rFonts w:ascii="Arial" w:eastAsiaTheme="minorEastAsia" w:hAnsi="Arial" w:cs="Arial"/>
          <w:b/>
          <w:bCs/>
          <w:i/>
          <w:iCs/>
          <w:noProof/>
          <w:sz w:val="18"/>
          <w:szCs w:val="18"/>
          <w:lang w:eastAsia="zh-CN"/>
        </w:rPr>
        <w:drawing>
          <wp:inline distT="0" distB="0" distL="0" distR="0" wp14:anchorId="4F7728EE" wp14:editId="5F806E53">
            <wp:extent cx="5187857" cy="1911350"/>
            <wp:effectExtent l="0" t="0" r="0" b="0"/>
            <wp:docPr id="153194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47652" name="Imagen 1"/>
                    <pic:cNvPicPr/>
                  </pic:nvPicPr>
                  <pic:blipFill rotWithShape="1">
                    <a:blip r:embed="rId9" cstate="print">
                      <a:extLst>
                        <a:ext uri="{28A0092B-C50C-407E-A947-70E740481C1C}">
                          <a14:useLocalDpi xmlns:a14="http://schemas.microsoft.com/office/drawing/2010/main" val="0"/>
                        </a:ext>
                      </a:extLst>
                    </a:blip>
                    <a:srcRect b="1859"/>
                    <a:stretch/>
                  </pic:blipFill>
                  <pic:spPr bwMode="auto">
                    <a:xfrm>
                      <a:off x="0" y="0"/>
                      <a:ext cx="5195606" cy="1914205"/>
                    </a:xfrm>
                    <a:prstGeom prst="rect">
                      <a:avLst/>
                    </a:prstGeom>
                    <a:ln>
                      <a:noFill/>
                    </a:ln>
                    <a:extLst>
                      <a:ext uri="{53640926-AAD7-44D8-BBD7-CCE9431645EC}">
                        <a14:shadowObscured xmlns:a14="http://schemas.microsoft.com/office/drawing/2010/main"/>
                      </a:ext>
                    </a:extLst>
                  </pic:spPr>
                </pic:pic>
              </a:graphicData>
            </a:graphic>
          </wp:inline>
        </w:drawing>
      </w:r>
    </w:p>
    <w:p w14:paraId="126079F6" w14:textId="55076FAA" w:rsidR="00830B2F" w:rsidRDefault="00830B2F" w:rsidP="001828BD">
      <w:pPr>
        <w:spacing w:before="120" w:line="288" w:lineRule="auto"/>
        <w:jc w:val="right"/>
        <w:rPr>
          <w:rFonts w:ascii="Arial" w:eastAsia="Arial" w:hAnsi="Arial" w:cs="Arial"/>
          <w:bCs/>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3"/>
    <w:bookmarkEnd w:id="4"/>
    <w:p w14:paraId="6F8EBF0E" w14:textId="3E28D800" w:rsidR="00F73932" w:rsidRPr="00DC55EB" w:rsidRDefault="00F73932" w:rsidP="00F73932">
      <w:pPr>
        <w:spacing w:before="120" w:line="288" w:lineRule="auto"/>
        <w:jc w:val="both"/>
        <w:rPr>
          <w:rFonts w:ascii="Arial" w:hAnsi="Arial" w:cs="Arial"/>
          <w:sz w:val="20"/>
          <w:szCs w:val="20"/>
        </w:rPr>
      </w:pPr>
      <w:r w:rsidRPr="00DC55EB">
        <w:rPr>
          <w:rFonts w:ascii="Arial" w:hAnsi="Arial" w:cs="Arial"/>
          <w:b/>
          <w:bCs/>
          <w:sz w:val="20"/>
          <w:szCs w:val="20"/>
        </w:rPr>
        <w:lastRenderedPageBreak/>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413</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50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5244759E" w14:textId="77777777" w:rsidR="00F73932" w:rsidRPr="00143F63" w:rsidRDefault="00F73932" w:rsidP="00F73932">
      <w:pPr>
        <w:spacing w:before="120" w:line="288" w:lineRule="auto"/>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cambiará el empleo total en su empresa en el próximo trimestre, desde</w:t>
      </w:r>
      <w:r>
        <w:rPr>
          <w:rFonts w:ascii="Arial" w:hAnsi="Arial" w:cs="Arial"/>
          <w:b/>
          <w:bCs/>
          <w:sz w:val="20"/>
          <w:szCs w:val="20"/>
        </w:rPr>
        <w:t xml:space="preserve"> enero a marzo de 2025</w:t>
      </w:r>
      <w:r w:rsidRPr="00D14253">
        <w:rPr>
          <w:rFonts w:ascii="Arial" w:hAnsi="Arial" w:cs="Arial"/>
          <w:b/>
          <w:bCs/>
          <w:sz w:val="20"/>
          <w:szCs w:val="20"/>
        </w:rPr>
        <w:t>,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27612037" w14:textId="77777777" w:rsidR="00F73932" w:rsidRPr="00DC55EB" w:rsidRDefault="00F73932" w:rsidP="00F73932">
      <w:pPr>
        <w:spacing w:before="120" w:line="288"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4AF41FDE" w14:textId="77777777" w:rsidR="002B2305" w:rsidRDefault="002B2305" w:rsidP="002B2305">
      <w:pPr>
        <w:jc w:val="both"/>
        <w:textAlignment w:val="baseline"/>
        <w:rPr>
          <w:rFonts w:ascii="Arial" w:eastAsia="Arial" w:hAnsi="Arial" w:cs="Arial"/>
          <w:sz w:val="16"/>
          <w:szCs w:val="16"/>
        </w:rPr>
      </w:pPr>
    </w:p>
    <w:p w14:paraId="7C6D7306" w14:textId="41C32414"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36D9F6DC" w14:textId="77777777" w:rsidR="008F16C4" w:rsidRDefault="008F16C4" w:rsidP="0006407D">
      <w:pPr>
        <w:jc w:val="both"/>
        <w:rPr>
          <w:rFonts w:ascii="Arial" w:hAnsi="Arial" w:cs="Arial"/>
          <w:b/>
          <w:bCs/>
          <w:sz w:val="16"/>
          <w:szCs w:val="16"/>
        </w:rPr>
      </w:pPr>
    </w:p>
    <w:p w14:paraId="72D27940" w14:textId="77777777" w:rsidR="002B2305" w:rsidRPr="005209A4" w:rsidRDefault="002B2305"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6519F" w:rsidRPr="00EE7830" w14:paraId="42099638" w14:textId="77777777" w:rsidTr="00755E42">
        <w:trPr>
          <w:trHeight w:val="1159"/>
        </w:trPr>
        <w:tc>
          <w:tcPr>
            <w:tcW w:w="2943" w:type="dxa"/>
            <w:hideMark/>
          </w:tcPr>
          <w:p w14:paraId="23AB43A0"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sz w:val="16"/>
                <w:szCs w:val="16"/>
              </w:rPr>
            </w:pPr>
            <w:bookmarkStart w:id="8" w:name="_Hlk90207537"/>
            <w:bookmarkEnd w:id="0"/>
            <w:bookmarkEnd w:id="1"/>
            <w:r w:rsidRPr="00761D60">
              <w:rPr>
                <w:rFonts w:ascii="Arial" w:hAnsi="Arial" w:cs="Arial"/>
                <w:color w:val="000000"/>
                <w:sz w:val="16"/>
                <w:szCs w:val="16"/>
                <w:u w:val="single"/>
              </w:rPr>
              <w:t>Agencia de comunicación Indie PR</w:t>
            </w:r>
          </w:p>
          <w:p w14:paraId="7C4E08CB" w14:textId="77777777" w:rsidR="0036519F" w:rsidRPr="00761D60" w:rsidRDefault="0036519F" w:rsidP="00755E4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58B45260" w14:textId="77777777" w:rsidR="0036519F" w:rsidRPr="00761D60" w:rsidRDefault="0036519F" w:rsidP="00755E4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18C905D1" w14:textId="77777777" w:rsidR="0036519F" w:rsidRPr="00761D60" w:rsidRDefault="0036519F" w:rsidP="00755E42">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Pr="00761D60">
                <w:rPr>
                  <w:rStyle w:val="Hipervnculo"/>
                  <w:rFonts w:ascii="Arial" w:eastAsia="MS Mincho" w:hAnsi="Arial" w:cs="Arial"/>
                  <w:sz w:val="16"/>
                  <w:szCs w:val="16"/>
                  <w:lang w:val="it-IT"/>
                </w:rPr>
                <w:t>cristina@indiepr.es</w:t>
              </w:r>
            </w:hyperlink>
          </w:p>
          <w:p w14:paraId="72F0EDB4"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color w:val="1155CC"/>
                <w:sz w:val="16"/>
                <w:szCs w:val="16"/>
                <w:lang w:val="it-IT"/>
              </w:rPr>
            </w:pPr>
          </w:p>
          <w:p w14:paraId="1FDBF6DF"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549A92D1"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48FF328B" w14:textId="77777777" w:rsidR="0036519F" w:rsidRPr="00761D60" w:rsidRDefault="0036519F" w:rsidP="00755E42">
            <w:pPr>
              <w:jc w:val="both"/>
              <w:outlineLvl w:val="0"/>
              <w:rPr>
                <w:rFonts w:ascii="Arial" w:hAnsi="Arial" w:cs="Arial"/>
                <w:b/>
                <w:sz w:val="16"/>
                <w:szCs w:val="16"/>
                <w:lang w:val="ca-ES"/>
              </w:rPr>
            </w:pPr>
            <w:hyperlink r:id="rId12" w:history="1">
              <w:r w:rsidRPr="00761D60">
                <w:rPr>
                  <w:rStyle w:val="Hipervnculo"/>
                  <w:rFonts w:ascii="Arial" w:hAnsi="Arial" w:cs="Arial"/>
                  <w:sz w:val="16"/>
                  <w:szCs w:val="16"/>
                  <w:lang w:val="it-IT"/>
                </w:rPr>
                <w:t>cpolo@indiepr.es</w:t>
              </w:r>
            </w:hyperlink>
          </w:p>
        </w:tc>
        <w:tc>
          <w:tcPr>
            <w:tcW w:w="2977" w:type="dxa"/>
          </w:tcPr>
          <w:p w14:paraId="0142D771" w14:textId="77777777" w:rsidR="0036519F" w:rsidRPr="00761D60" w:rsidRDefault="0036519F" w:rsidP="00755E42">
            <w:pPr>
              <w:jc w:val="both"/>
              <w:rPr>
                <w:rFonts w:ascii="Arial" w:hAnsi="Arial" w:cs="Arial"/>
                <w:sz w:val="16"/>
                <w:szCs w:val="16"/>
                <w:lang w:val="ca-ES"/>
              </w:rPr>
            </w:pPr>
          </w:p>
        </w:tc>
        <w:tc>
          <w:tcPr>
            <w:tcW w:w="3028" w:type="dxa"/>
          </w:tcPr>
          <w:p w14:paraId="7C4FAE76" w14:textId="77777777" w:rsidR="0036519F" w:rsidRPr="00761D60" w:rsidRDefault="0036519F" w:rsidP="00755E42">
            <w:pPr>
              <w:jc w:val="both"/>
              <w:outlineLvl w:val="0"/>
              <w:rPr>
                <w:rFonts w:ascii="Arial" w:hAnsi="Arial" w:cs="Arial"/>
                <w:b/>
                <w:sz w:val="16"/>
                <w:szCs w:val="16"/>
              </w:rPr>
            </w:pPr>
            <w:r w:rsidRPr="00761D60">
              <w:rPr>
                <w:rFonts w:ascii="Arial" w:hAnsi="Arial" w:cs="Arial"/>
                <w:b/>
                <w:sz w:val="16"/>
                <w:szCs w:val="16"/>
              </w:rPr>
              <w:t>ManpowerGroup</w:t>
            </w:r>
          </w:p>
          <w:p w14:paraId="17E4EFB7" w14:textId="77777777" w:rsidR="0036519F" w:rsidRPr="00761D60" w:rsidRDefault="0036519F" w:rsidP="00755E42">
            <w:pPr>
              <w:jc w:val="both"/>
              <w:outlineLvl w:val="0"/>
              <w:rPr>
                <w:rFonts w:ascii="Arial" w:hAnsi="Arial" w:cs="Arial"/>
                <w:sz w:val="16"/>
                <w:szCs w:val="16"/>
              </w:rPr>
            </w:pPr>
            <w:r w:rsidRPr="00761D60">
              <w:rPr>
                <w:rFonts w:ascii="Arial" w:hAnsi="Arial" w:cs="Arial"/>
                <w:sz w:val="16"/>
                <w:szCs w:val="16"/>
              </w:rPr>
              <w:t>Dpto. Comunicación</w:t>
            </w:r>
          </w:p>
          <w:p w14:paraId="44CCEE76" w14:textId="77777777" w:rsidR="0036519F" w:rsidRPr="00761D60" w:rsidRDefault="0036519F" w:rsidP="00755E42">
            <w:pPr>
              <w:jc w:val="both"/>
              <w:rPr>
                <w:rFonts w:ascii="Arial" w:hAnsi="Arial" w:cs="Arial"/>
                <w:sz w:val="16"/>
                <w:szCs w:val="16"/>
              </w:rPr>
            </w:pPr>
            <w:r w:rsidRPr="00761D60">
              <w:rPr>
                <w:rFonts w:ascii="Arial" w:hAnsi="Arial" w:cs="Arial"/>
                <w:sz w:val="16"/>
                <w:szCs w:val="16"/>
              </w:rPr>
              <w:t>Juan Gómez Rodríguez</w:t>
            </w:r>
          </w:p>
          <w:p w14:paraId="04E4FA70" w14:textId="77777777" w:rsidR="0036519F" w:rsidRPr="00F4564F" w:rsidRDefault="0036519F" w:rsidP="00755E42">
            <w:pPr>
              <w:jc w:val="both"/>
              <w:rPr>
                <w:rFonts w:ascii="Arial" w:hAnsi="Arial" w:cs="Arial"/>
                <w:sz w:val="16"/>
                <w:szCs w:val="16"/>
                <w:lang w:val="de-DE"/>
              </w:rPr>
            </w:pPr>
            <w:r w:rsidRPr="00F4564F">
              <w:rPr>
                <w:rFonts w:ascii="Arial" w:hAnsi="Arial" w:cs="Arial"/>
                <w:sz w:val="16"/>
                <w:szCs w:val="16"/>
                <w:lang w:val="de-DE"/>
              </w:rPr>
              <w:t>Tel. 687 51 96 90</w:t>
            </w:r>
          </w:p>
          <w:p w14:paraId="5F685ECC" w14:textId="77777777" w:rsidR="0036519F" w:rsidRPr="00F4564F" w:rsidRDefault="0036519F" w:rsidP="00755E42">
            <w:pPr>
              <w:jc w:val="both"/>
              <w:rPr>
                <w:rFonts w:ascii="Arial" w:hAnsi="Arial" w:cs="Arial"/>
                <w:sz w:val="16"/>
                <w:szCs w:val="16"/>
                <w:lang w:val="de-DE"/>
              </w:rPr>
            </w:pPr>
            <w:hyperlink r:id="rId13" w:history="1">
              <w:r w:rsidRPr="00F4564F">
                <w:rPr>
                  <w:rStyle w:val="Hipervnculo"/>
                  <w:rFonts w:ascii="Arial" w:hAnsi="Arial" w:cs="Arial"/>
                  <w:sz w:val="16"/>
                  <w:szCs w:val="16"/>
                  <w:lang w:val="de-DE"/>
                </w:rPr>
                <w:t>juan.gomez@manpowergroup.es</w:t>
              </w:r>
            </w:hyperlink>
          </w:p>
        </w:tc>
      </w:tr>
      <w:bookmarkEnd w:id="8"/>
    </w:tbl>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249BC" w14:textId="77777777" w:rsidR="00B352BC" w:rsidRDefault="00B352BC">
      <w:r>
        <w:separator/>
      </w:r>
    </w:p>
  </w:endnote>
  <w:endnote w:type="continuationSeparator" w:id="0">
    <w:p w14:paraId="3E448834" w14:textId="77777777" w:rsidR="00B352BC" w:rsidRDefault="00B3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D0F1B" w14:textId="77777777" w:rsidR="00B352BC" w:rsidRDefault="00B352BC">
      <w:r>
        <w:separator/>
      </w:r>
    </w:p>
  </w:footnote>
  <w:footnote w:type="continuationSeparator" w:id="0">
    <w:p w14:paraId="2F7C2984" w14:textId="77777777" w:rsidR="00B352BC" w:rsidRDefault="00B3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C70FF" w14:textId="2F872B1E" w:rsidR="001828BD" w:rsidRDefault="001828BD" w:rsidP="001828BD">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B20B38C" wp14:editId="7094C451">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4F779F22" w14:textId="77777777" w:rsidR="001828BD" w:rsidRPr="00260C43" w:rsidRDefault="001828BD" w:rsidP="001828BD">
    <w:pPr>
      <w:pStyle w:val="Encabezado"/>
    </w:pPr>
  </w:p>
  <w:p w14:paraId="054F2965" w14:textId="2754F7A0" w:rsidR="003B09CB" w:rsidRPr="001828BD" w:rsidRDefault="003B09CB" w:rsidP="001828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 w:numId="8" w16cid:durableId="19895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7E37"/>
    <w:rsid w:val="0006279A"/>
    <w:rsid w:val="00063579"/>
    <w:rsid w:val="0006407D"/>
    <w:rsid w:val="00066C14"/>
    <w:rsid w:val="00084B60"/>
    <w:rsid w:val="000869A2"/>
    <w:rsid w:val="000906C2"/>
    <w:rsid w:val="00095B8E"/>
    <w:rsid w:val="000A1973"/>
    <w:rsid w:val="000D2B5A"/>
    <w:rsid w:val="000D6BCE"/>
    <w:rsid w:val="000E662A"/>
    <w:rsid w:val="000E71B3"/>
    <w:rsid w:val="000F1600"/>
    <w:rsid w:val="0011037D"/>
    <w:rsid w:val="0012170F"/>
    <w:rsid w:val="00122E68"/>
    <w:rsid w:val="00123015"/>
    <w:rsid w:val="00124DEA"/>
    <w:rsid w:val="0012624A"/>
    <w:rsid w:val="0013008D"/>
    <w:rsid w:val="001324E2"/>
    <w:rsid w:val="00132B7B"/>
    <w:rsid w:val="0013406D"/>
    <w:rsid w:val="00137C4E"/>
    <w:rsid w:val="00142E26"/>
    <w:rsid w:val="00145F17"/>
    <w:rsid w:val="00157558"/>
    <w:rsid w:val="0017076E"/>
    <w:rsid w:val="001741E5"/>
    <w:rsid w:val="00176074"/>
    <w:rsid w:val="00181155"/>
    <w:rsid w:val="001828BD"/>
    <w:rsid w:val="00183B91"/>
    <w:rsid w:val="0018572B"/>
    <w:rsid w:val="00186814"/>
    <w:rsid w:val="0019152E"/>
    <w:rsid w:val="00196895"/>
    <w:rsid w:val="001A2A76"/>
    <w:rsid w:val="001B13C9"/>
    <w:rsid w:val="001B18D2"/>
    <w:rsid w:val="001B2737"/>
    <w:rsid w:val="001B39AD"/>
    <w:rsid w:val="001F6139"/>
    <w:rsid w:val="002059D2"/>
    <w:rsid w:val="00212129"/>
    <w:rsid w:val="002246BA"/>
    <w:rsid w:val="00226CF7"/>
    <w:rsid w:val="00231D36"/>
    <w:rsid w:val="002331A8"/>
    <w:rsid w:val="0024317A"/>
    <w:rsid w:val="00275B27"/>
    <w:rsid w:val="00280DEC"/>
    <w:rsid w:val="002870C7"/>
    <w:rsid w:val="00294475"/>
    <w:rsid w:val="002A1736"/>
    <w:rsid w:val="002A3D92"/>
    <w:rsid w:val="002B2305"/>
    <w:rsid w:val="002B3386"/>
    <w:rsid w:val="002B3F52"/>
    <w:rsid w:val="002B461A"/>
    <w:rsid w:val="002C02D9"/>
    <w:rsid w:val="002D032D"/>
    <w:rsid w:val="002D0F93"/>
    <w:rsid w:val="002D69D8"/>
    <w:rsid w:val="002E289B"/>
    <w:rsid w:val="002F04D0"/>
    <w:rsid w:val="003019C9"/>
    <w:rsid w:val="00307DEC"/>
    <w:rsid w:val="0031261F"/>
    <w:rsid w:val="0032424C"/>
    <w:rsid w:val="00326125"/>
    <w:rsid w:val="00331A79"/>
    <w:rsid w:val="00332D02"/>
    <w:rsid w:val="00337FD2"/>
    <w:rsid w:val="003436D7"/>
    <w:rsid w:val="00344595"/>
    <w:rsid w:val="00346E05"/>
    <w:rsid w:val="003470C8"/>
    <w:rsid w:val="003509A5"/>
    <w:rsid w:val="0035236D"/>
    <w:rsid w:val="00352F56"/>
    <w:rsid w:val="00356679"/>
    <w:rsid w:val="00357D6E"/>
    <w:rsid w:val="0036519F"/>
    <w:rsid w:val="0038103A"/>
    <w:rsid w:val="00383F58"/>
    <w:rsid w:val="00393767"/>
    <w:rsid w:val="00396788"/>
    <w:rsid w:val="003A214F"/>
    <w:rsid w:val="003A2B29"/>
    <w:rsid w:val="003A30A0"/>
    <w:rsid w:val="003B09CB"/>
    <w:rsid w:val="003B78B0"/>
    <w:rsid w:val="003C4899"/>
    <w:rsid w:val="003C5FF2"/>
    <w:rsid w:val="003D0E85"/>
    <w:rsid w:val="003D4F9E"/>
    <w:rsid w:val="003D6C61"/>
    <w:rsid w:val="003E08D8"/>
    <w:rsid w:val="003E34D9"/>
    <w:rsid w:val="003E3C5F"/>
    <w:rsid w:val="003E70B2"/>
    <w:rsid w:val="003F40DD"/>
    <w:rsid w:val="00401FD2"/>
    <w:rsid w:val="00407AD8"/>
    <w:rsid w:val="0041402C"/>
    <w:rsid w:val="004162DB"/>
    <w:rsid w:val="0042469B"/>
    <w:rsid w:val="00427501"/>
    <w:rsid w:val="0043179C"/>
    <w:rsid w:val="004318DB"/>
    <w:rsid w:val="0044035B"/>
    <w:rsid w:val="00441AA5"/>
    <w:rsid w:val="004510D0"/>
    <w:rsid w:val="00451A25"/>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09A4"/>
    <w:rsid w:val="00527688"/>
    <w:rsid w:val="00541A7B"/>
    <w:rsid w:val="00555D20"/>
    <w:rsid w:val="00561B53"/>
    <w:rsid w:val="00564AFB"/>
    <w:rsid w:val="00567779"/>
    <w:rsid w:val="0057357A"/>
    <w:rsid w:val="00576DDF"/>
    <w:rsid w:val="00577B92"/>
    <w:rsid w:val="00583013"/>
    <w:rsid w:val="005838B1"/>
    <w:rsid w:val="00584891"/>
    <w:rsid w:val="00590A1C"/>
    <w:rsid w:val="005939CD"/>
    <w:rsid w:val="00596187"/>
    <w:rsid w:val="005A44F4"/>
    <w:rsid w:val="005A7DB1"/>
    <w:rsid w:val="005A7E9C"/>
    <w:rsid w:val="005C1E72"/>
    <w:rsid w:val="005C33ED"/>
    <w:rsid w:val="005D17CE"/>
    <w:rsid w:val="005D1AE9"/>
    <w:rsid w:val="005D5DC2"/>
    <w:rsid w:val="005D6FF5"/>
    <w:rsid w:val="005E0545"/>
    <w:rsid w:val="005E4173"/>
    <w:rsid w:val="005F0582"/>
    <w:rsid w:val="005F1509"/>
    <w:rsid w:val="005F1CEB"/>
    <w:rsid w:val="00601B68"/>
    <w:rsid w:val="00622434"/>
    <w:rsid w:val="00635FD7"/>
    <w:rsid w:val="00636A81"/>
    <w:rsid w:val="00642CB5"/>
    <w:rsid w:val="0064466A"/>
    <w:rsid w:val="006515B4"/>
    <w:rsid w:val="00652342"/>
    <w:rsid w:val="006536BD"/>
    <w:rsid w:val="00655163"/>
    <w:rsid w:val="0067332C"/>
    <w:rsid w:val="00682AA2"/>
    <w:rsid w:val="006837DA"/>
    <w:rsid w:val="00687087"/>
    <w:rsid w:val="0068763B"/>
    <w:rsid w:val="00691081"/>
    <w:rsid w:val="00694B11"/>
    <w:rsid w:val="006972C0"/>
    <w:rsid w:val="006A61A8"/>
    <w:rsid w:val="006A7F27"/>
    <w:rsid w:val="006B0824"/>
    <w:rsid w:val="006B2084"/>
    <w:rsid w:val="006B6CC7"/>
    <w:rsid w:val="006B6EBB"/>
    <w:rsid w:val="006E5208"/>
    <w:rsid w:val="006E7190"/>
    <w:rsid w:val="0070063C"/>
    <w:rsid w:val="00700FE8"/>
    <w:rsid w:val="00710857"/>
    <w:rsid w:val="00720BA0"/>
    <w:rsid w:val="0072269E"/>
    <w:rsid w:val="00724CBF"/>
    <w:rsid w:val="00731F03"/>
    <w:rsid w:val="00741C49"/>
    <w:rsid w:val="00743A94"/>
    <w:rsid w:val="00783F06"/>
    <w:rsid w:val="00795548"/>
    <w:rsid w:val="00796D76"/>
    <w:rsid w:val="007A0082"/>
    <w:rsid w:val="007A74B1"/>
    <w:rsid w:val="007B189E"/>
    <w:rsid w:val="007B59D1"/>
    <w:rsid w:val="007B679F"/>
    <w:rsid w:val="007C5E67"/>
    <w:rsid w:val="007D0CFF"/>
    <w:rsid w:val="007E0F84"/>
    <w:rsid w:val="007E2DCC"/>
    <w:rsid w:val="00801C70"/>
    <w:rsid w:val="00825CE9"/>
    <w:rsid w:val="00830B2F"/>
    <w:rsid w:val="00836F8E"/>
    <w:rsid w:val="008405EA"/>
    <w:rsid w:val="00841381"/>
    <w:rsid w:val="00853C2E"/>
    <w:rsid w:val="00853DF2"/>
    <w:rsid w:val="00857C81"/>
    <w:rsid w:val="008764B5"/>
    <w:rsid w:val="00882FCB"/>
    <w:rsid w:val="00885750"/>
    <w:rsid w:val="00886F0C"/>
    <w:rsid w:val="00890443"/>
    <w:rsid w:val="00891830"/>
    <w:rsid w:val="0089190E"/>
    <w:rsid w:val="008979FE"/>
    <w:rsid w:val="008A4224"/>
    <w:rsid w:val="008B14CC"/>
    <w:rsid w:val="008B155B"/>
    <w:rsid w:val="008B3A52"/>
    <w:rsid w:val="008B79F9"/>
    <w:rsid w:val="008C0114"/>
    <w:rsid w:val="008C44D3"/>
    <w:rsid w:val="008C5AB0"/>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3FC1"/>
    <w:rsid w:val="009456E3"/>
    <w:rsid w:val="00966C08"/>
    <w:rsid w:val="00970C74"/>
    <w:rsid w:val="0097165A"/>
    <w:rsid w:val="0097553E"/>
    <w:rsid w:val="00977BE7"/>
    <w:rsid w:val="00980A2D"/>
    <w:rsid w:val="0098143A"/>
    <w:rsid w:val="00981941"/>
    <w:rsid w:val="00982693"/>
    <w:rsid w:val="00991A90"/>
    <w:rsid w:val="009A0E87"/>
    <w:rsid w:val="009A1EB0"/>
    <w:rsid w:val="009A3526"/>
    <w:rsid w:val="009A6F8A"/>
    <w:rsid w:val="009B2C9F"/>
    <w:rsid w:val="009C2675"/>
    <w:rsid w:val="009C4562"/>
    <w:rsid w:val="009C5491"/>
    <w:rsid w:val="009C610D"/>
    <w:rsid w:val="009D2871"/>
    <w:rsid w:val="009D2EF1"/>
    <w:rsid w:val="009D3CF7"/>
    <w:rsid w:val="009D4CEF"/>
    <w:rsid w:val="009E182B"/>
    <w:rsid w:val="009F01EA"/>
    <w:rsid w:val="009F2A76"/>
    <w:rsid w:val="009F301A"/>
    <w:rsid w:val="009F7DB9"/>
    <w:rsid w:val="009F7E1C"/>
    <w:rsid w:val="00A01277"/>
    <w:rsid w:val="00A02C34"/>
    <w:rsid w:val="00A346D1"/>
    <w:rsid w:val="00A41710"/>
    <w:rsid w:val="00A45200"/>
    <w:rsid w:val="00A458AD"/>
    <w:rsid w:val="00A50B4D"/>
    <w:rsid w:val="00A52E71"/>
    <w:rsid w:val="00A54B87"/>
    <w:rsid w:val="00A56426"/>
    <w:rsid w:val="00A574BF"/>
    <w:rsid w:val="00A7208B"/>
    <w:rsid w:val="00A75968"/>
    <w:rsid w:val="00A81170"/>
    <w:rsid w:val="00A84DE6"/>
    <w:rsid w:val="00AB24A2"/>
    <w:rsid w:val="00AE0726"/>
    <w:rsid w:val="00AF11D7"/>
    <w:rsid w:val="00AF2C8A"/>
    <w:rsid w:val="00AF735D"/>
    <w:rsid w:val="00B05CD9"/>
    <w:rsid w:val="00B05D48"/>
    <w:rsid w:val="00B116AF"/>
    <w:rsid w:val="00B12B48"/>
    <w:rsid w:val="00B14FF8"/>
    <w:rsid w:val="00B179B5"/>
    <w:rsid w:val="00B22902"/>
    <w:rsid w:val="00B32DA9"/>
    <w:rsid w:val="00B33B9D"/>
    <w:rsid w:val="00B352BC"/>
    <w:rsid w:val="00B43656"/>
    <w:rsid w:val="00B5158D"/>
    <w:rsid w:val="00B60986"/>
    <w:rsid w:val="00B628EE"/>
    <w:rsid w:val="00B8069B"/>
    <w:rsid w:val="00B87F8E"/>
    <w:rsid w:val="00B963D0"/>
    <w:rsid w:val="00BB1160"/>
    <w:rsid w:val="00BB39D9"/>
    <w:rsid w:val="00BB66B8"/>
    <w:rsid w:val="00BC0EE7"/>
    <w:rsid w:val="00BC45B7"/>
    <w:rsid w:val="00BC46BE"/>
    <w:rsid w:val="00BD5663"/>
    <w:rsid w:val="00BE22AA"/>
    <w:rsid w:val="00BF2547"/>
    <w:rsid w:val="00BF2A9C"/>
    <w:rsid w:val="00BF5E11"/>
    <w:rsid w:val="00C02974"/>
    <w:rsid w:val="00C122AC"/>
    <w:rsid w:val="00C41541"/>
    <w:rsid w:val="00C4624D"/>
    <w:rsid w:val="00C46CB3"/>
    <w:rsid w:val="00C536C9"/>
    <w:rsid w:val="00C549B2"/>
    <w:rsid w:val="00C61314"/>
    <w:rsid w:val="00C7314E"/>
    <w:rsid w:val="00C73CB1"/>
    <w:rsid w:val="00C74D41"/>
    <w:rsid w:val="00C82EFD"/>
    <w:rsid w:val="00C83097"/>
    <w:rsid w:val="00C91CCE"/>
    <w:rsid w:val="00C926CF"/>
    <w:rsid w:val="00C97060"/>
    <w:rsid w:val="00CA0905"/>
    <w:rsid w:val="00CA4F5B"/>
    <w:rsid w:val="00CA50B7"/>
    <w:rsid w:val="00CB6B70"/>
    <w:rsid w:val="00CC1F87"/>
    <w:rsid w:val="00CC3472"/>
    <w:rsid w:val="00CF74FF"/>
    <w:rsid w:val="00D02D48"/>
    <w:rsid w:val="00D05483"/>
    <w:rsid w:val="00D206CE"/>
    <w:rsid w:val="00D27829"/>
    <w:rsid w:val="00D27B5C"/>
    <w:rsid w:val="00D3571D"/>
    <w:rsid w:val="00D3673B"/>
    <w:rsid w:val="00D62DA8"/>
    <w:rsid w:val="00D63AB2"/>
    <w:rsid w:val="00D64482"/>
    <w:rsid w:val="00D7168F"/>
    <w:rsid w:val="00D73001"/>
    <w:rsid w:val="00D7641E"/>
    <w:rsid w:val="00D865AD"/>
    <w:rsid w:val="00D90EF8"/>
    <w:rsid w:val="00D92B75"/>
    <w:rsid w:val="00D9510D"/>
    <w:rsid w:val="00DA225F"/>
    <w:rsid w:val="00DB0F1B"/>
    <w:rsid w:val="00DB45BA"/>
    <w:rsid w:val="00DB5EEF"/>
    <w:rsid w:val="00DC304A"/>
    <w:rsid w:val="00DC6709"/>
    <w:rsid w:val="00DD53A1"/>
    <w:rsid w:val="00DE15C9"/>
    <w:rsid w:val="00DE381F"/>
    <w:rsid w:val="00DE502B"/>
    <w:rsid w:val="00DF4C04"/>
    <w:rsid w:val="00DF6943"/>
    <w:rsid w:val="00E10601"/>
    <w:rsid w:val="00E12E1F"/>
    <w:rsid w:val="00E13BED"/>
    <w:rsid w:val="00E14B59"/>
    <w:rsid w:val="00E269C3"/>
    <w:rsid w:val="00E36DF7"/>
    <w:rsid w:val="00E375F1"/>
    <w:rsid w:val="00E6199F"/>
    <w:rsid w:val="00E64F9B"/>
    <w:rsid w:val="00E66280"/>
    <w:rsid w:val="00E675C5"/>
    <w:rsid w:val="00E67A01"/>
    <w:rsid w:val="00E845CF"/>
    <w:rsid w:val="00E87B2B"/>
    <w:rsid w:val="00E91772"/>
    <w:rsid w:val="00E9191C"/>
    <w:rsid w:val="00EA47E3"/>
    <w:rsid w:val="00EA7C7E"/>
    <w:rsid w:val="00EB283B"/>
    <w:rsid w:val="00ED4D55"/>
    <w:rsid w:val="00ED543B"/>
    <w:rsid w:val="00ED788C"/>
    <w:rsid w:val="00EE2B53"/>
    <w:rsid w:val="00EE7830"/>
    <w:rsid w:val="00F00E57"/>
    <w:rsid w:val="00F03D39"/>
    <w:rsid w:val="00F0652C"/>
    <w:rsid w:val="00F0730E"/>
    <w:rsid w:val="00F12D89"/>
    <w:rsid w:val="00F12F38"/>
    <w:rsid w:val="00F24D52"/>
    <w:rsid w:val="00F26D2A"/>
    <w:rsid w:val="00F34988"/>
    <w:rsid w:val="00F3670F"/>
    <w:rsid w:val="00F4008A"/>
    <w:rsid w:val="00F432F1"/>
    <w:rsid w:val="00F45079"/>
    <w:rsid w:val="00F4564F"/>
    <w:rsid w:val="00F45C5A"/>
    <w:rsid w:val="00F5395E"/>
    <w:rsid w:val="00F5559A"/>
    <w:rsid w:val="00F6573D"/>
    <w:rsid w:val="00F72967"/>
    <w:rsid w:val="00F73932"/>
    <w:rsid w:val="00F73A73"/>
    <w:rsid w:val="00F74E6C"/>
    <w:rsid w:val="00F761C4"/>
    <w:rsid w:val="00F82ABD"/>
    <w:rsid w:val="00F87D9D"/>
    <w:rsid w:val="00F93A2E"/>
    <w:rsid w:val="00F95E09"/>
    <w:rsid w:val="00F963D2"/>
    <w:rsid w:val="00FA2A48"/>
    <w:rsid w:val="00FB561C"/>
    <w:rsid w:val="00FB69D7"/>
    <w:rsid w:val="00FB7384"/>
    <w:rsid w:val="00FC3937"/>
    <w:rsid w:val="00FC7D4B"/>
    <w:rsid w:val="00FE0A8D"/>
    <w:rsid w:val="00FF00F2"/>
    <w:rsid w:val="00FF1C0C"/>
    <w:rsid w:val="00FF4E94"/>
    <w:rsid w:val="00FF5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21276977">
      <w:bodyDiv w:val="1"/>
      <w:marLeft w:val="0"/>
      <w:marRight w:val="0"/>
      <w:marTop w:val="0"/>
      <w:marBottom w:val="0"/>
      <w:divBdr>
        <w:top w:val="none" w:sz="0" w:space="0" w:color="auto"/>
        <w:left w:val="none" w:sz="0" w:space="0" w:color="auto"/>
        <w:bottom w:val="none" w:sz="0" w:space="0" w:color="auto"/>
        <w:right w:val="none" w:sz="0" w:space="0" w:color="auto"/>
      </w:divBdr>
      <w:divsChild>
        <w:div w:id="829442275">
          <w:marLeft w:val="0"/>
          <w:marRight w:val="0"/>
          <w:marTop w:val="0"/>
          <w:marBottom w:val="0"/>
          <w:divBdr>
            <w:top w:val="none" w:sz="0" w:space="0" w:color="auto"/>
            <w:left w:val="none" w:sz="0" w:space="0" w:color="auto"/>
            <w:bottom w:val="none" w:sz="0" w:space="0" w:color="auto"/>
            <w:right w:val="none" w:sz="0" w:space="0" w:color="auto"/>
          </w:divBdr>
          <w:divsChild>
            <w:div w:id="662196144">
              <w:marLeft w:val="0"/>
              <w:marRight w:val="0"/>
              <w:marTop w:val="0"/>
              <w:marBottom w:val="0"/>
              <w:divBdr>
                <w:top w:val="none" w:sz="0" w:space="0" w:color="auto"/>
                <w:left w:val="none" w:sz="0" w:space="0" w:color="auto"/>
                <w:bottom w:val="none" w:sz="0" w:space="0" w:color="auto"/>
                <w:right w:val="none" w:sz="0" w:space="0" w:color="auto"/>
              </w:divBdr>
              <w:divsChild>
                <w:div w:id="102652505">
                  <w:marLeft w:val="0"/>
                  <w:marRight w:val="0"/>
                  <w:marTop w:val="0"/>
                  <w:marBottom w:val="0"/>
                  <w:divBdr>
                    <w:top w:val="none" w:sz="0" w:space="0" w:color="auto"/>
                    <w:left w:val="none" w:sz="0" w:space="0" w:color="auto"/>
                    <w:bottom w:val="none" w:sz="0" w:space="0" w:color="auto"/>
                    <w:right w:val="none" w:sz="0" w:space="0" w:color="auto"/>
                  </w:divBdr>
                  <w:divsChild>
                    <w:div w:id="138697301">
                      <w:marLeft w:val="0"/>
                      <w:marRight w:val="0"/>
                      <w:marTop w:val="0"/>
                      <w:marBottom w:val="0"/>
                      <w:divBdr>
                        <w:top w:val="none" w:sz="0" w:space="0" w:color="auto"/>
                        <w:left w:val="none" w:sz="0" w:space="0" w:color="auto"/>
                        <w:bottom w:val="none" w:sz="0" w:space="0" w:color="auto"/>
                        <w:right w:val="none" w:sz="0" w:space="0" w:color="auto"/>
                      </w:divBdr>
                      <w:divsChild>
                        <w:div w:id="1409426611">
                          <w:marLeft w:val="0"/>
                          <w:marRight w:val="0"/>
                          <w:marTop w:val="0"/>
                          <w:marBottom w:val="0"/>
                          <w:divBdr>
                            <w:top w:val="none" w:sz="0" w:space="0" w:color="auto"/>
                            <w:left w:val="none" w:sz="0" w:space="0" w:color="auto"/>
                            <w:bottom w:val="none" w:sz="0" w:space="0" w:color="auto"/>
                            <w:right w:val="none" w:sz="0" w:space="0" w:color="auto"/>
                          </w:divBdr>
                          <w:divsChild>
                            <w:div w:id="6802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78674205">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087460134">
      <w:bodyDiv w:val="1"/>
      <w:marLeft w:val="0"/>
      <w:marRight w:val="0"/>
      <w:marTop w:val="0"/>
      <w:marBottom w:val="0"/>
      <w:divBdr>
        <w:top w:val="none" w:sz="0" w:space="0" w:color="auto"/>
        <w:left w:val="none" w:sz="0" w:space="0" w:color="auto"/>
        <w:bottom w:val="none" w:sz="0" w:space="0" w:color="auto"/>
        <w:right w:val="none" w:sz="0" w:space="0" w:color="auto"/>
      </w:divBdr>
      <w:divsChild>
        <w:div w:id="1417820359">
          <w:marLeft w:val="0"/>
          <w:marRight w:val="0"/>
          <w:marTop w:val="0"/>
          <w:marBottom w:val="0"/>
          <w:divBdr>
            <w:top w:val="none" w:sz="0" w:space="0" w:color="auto"/>
            <w:left w:val="none" w:sz="0" w:space="0" w:color="auto"/>
            <w:bottom w:val="none" w:sz="0" w:space="0" w:color="auto"/>
            <w:right w:val="none" w:sz="0" w:space="0" w:color="auto"/>
          </w:divBdr>
          <w:divsChild>
            <w:div w:id="749621386">
              <w:marLeft w:val="0"/>
              <w:marRight w:val="0"/>
              <w:marTop w:val="0"/>
              <w:marBottom w:val="0"/>
              <w:divBdr>
                <w:top w:val="none" w:sz="0" w:space="0" w:color="auto"/>
                <w:left w:val="none" w:sz="0" w:space="0" w:color="auto"/>
                <w:bottom w:val="none" w:sz="0" w:space="0" w:color="auto"/>
                <w:right w:val="none" w:sz="0" w:space="0" w:color="auto"/>
              </w:divBdr>
              <w:divsChild>
                <w:div w:id="991714759">
                  <w:marLeft w:val="0"/>
                  <w:marRight w:val="0"/>
                  <w:marTop w:val="0"/>
                  <w:marBottom w:val="0"/>
                  <w:divBdr>
                    <w:top w:val="none" w:sz="0" w:space="0" w:color="auto"/>
                    <w:left w:val="none" w:sz="0" w:space="0" w:color="auto"/>
                    <w:bottom w:val="none" w:sz="0" w:space="0" w:color="auto"/>
                    <w:right w:val="none" w:sz="0" w:space="0" w:color="auto"/>
                  </w:divBdr>
                  <w:divsChild>
                    <w:div w:id="206534329">
                      <w:marLeft w:val="0"/>
                      <w:marRight w:val="0"/>
                      <w:marTop w:val="0"/>
                      <w:marBottom w:val="0"/>
                      <w:divBdr>
                        <w:top w:val="none" w:sz="0" w:space="0" w:color="auto"/>
                        <w:left w:val="none" w:sz="0" w:space="0" w:color="auto"/>
                        <w:bottom w:val="none" w:sz="0" w:space="0" w:color="auto"/>
                        <w:right w:val="none" w:sz="0" w:space="0" w:color="auto"/>
                      </w:divBdr>
                      <w:divsChild>
                        <w:div w:id="1811169818">
                          <w:marLeft w:val="0"/>
                          <w:marRight w:val="0"/>
                          <w:marTop w:val="0"/>
                          <w:marBottom w:val="0"/>
                          <w:divBdr>
                            <w:top w:val="none" w:sz="0" w:space="0" w:color="auto"/>
                            <w:left w:val="none" w:sz="0" w:space="0" w:color="auto"/>
                            <w:bottom w:val="none" w:sz="0" w:space="0" w:color="auto"/>
                            <w:right w:val="none" w:sz="0" w:space="0" w:color="auto"/>
                          </w:divBdr>
                          <w:divsChild>
                            <w:div w:id="220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954</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3</cp:revision>
  <cp:lastPrinted>2022-12-19T17:21:00Z</cp:lastPrinted>
  <dcterms:created xsi:type="dcterms:W3CDTF">2024-12-13T10:30:00Z</dcterms:created>
  <dcterms:modified xsi:type="dcterms:W3CDTF">2024-12-17T11:16:00Z</dcterms:modified>
</cp:coreProperties>
</file>