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66F10151" w14:textId="4F538E00" w:rsidR="0029675D" w:rsidRPr="00167A0E" w:rsidRDefault="00042CDD" w:rsidP="00167A0E">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El 7</w:t>
      </w:r>
      <w:r w:rsidR="002174CD">
        <w:rPr>
          <w:rFonts w:ascii="Arial" w:eastAsia="Arial" w:hAnsi="Arial" w:cs="Arial"/>
          <w:b/>
          <w:bCs/>
          <w:sz w:val="36"/>
          <w:szCs w:val="36"/>
        </w:rPr>
        <w:t>7</w:t>
      </w:r>
      <w:r>
        <w:rPr>
          <w:rFonts w:ascii="Arial" w:eastAsia="Arial" w:hAnsi="Arial" w:cs="Arial"/>
          <w:b/>
          <w:bCs/>
          <w:sz w:val="36"/>
          <w:szCs w:val="36"/>
        </w:rPr>
        <w:t xml:space="preserve">% de las empresas </w:t>
      </w:r>
      <w:r w:rsidR="002174CD">
        <w:rPr>
          <w:rFonts w:ascii="Arial" w:eastAsia="Arial" w:hAnsi="Arial" w:cs="Arial"/>
          <w:b/>
          <w:bCs/>
          <w:sz w:val="36"/>
          <w:szCs w:val="36"/>
        </w:rPr>
        <w:t>de Bienes y servicios de consumo tiene dificultades para encontrar talento cualificado</w:t>
      </w:r>
    </w:p>
    <w:p w14:paraId="06277779" w14:textId="77777777" w:rsidR="0029675D" w:rsidRPr="00816D75" w:rsidRDefault="0029675D" w:rsidP="00816D75">
      <w:pPr>
        <w:spacing w:before="120" w:line="288" w:lineRule="auto"/>
        <w:jc w:val="both"/>
        <w:rPr>
          <w:rFonts w:ascii="Arial" w:eastAsia="Arial" w:hAnsi="Arial" w:cs="Arial"/>
          <w:b/>
          <w:sz w:val="23"/>
          <w:szCs w:val="23"/>
        </w:rPr>
      </w:pPr>
      <w:bookmarkStart w:id="0" w:name="_Hlk113557077"/>
    </w:p>
    <w:p w14:paraId="7D899170" w14:textId="7961EF09" w:rsidR="002174CD" w:rsidRDefault="002174CD"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El sector mejora </w:t>
      </w:r>
      <w:r w:rsidR="008375DF">
        <w:rPr>
          <w:rFonts w:ascii="Arial" w:eastAsia="Arial" w:hAnsi="Arial" w:cs="Arial"/>
          <w:b/>
          <w:sz w:val="23"/>
          <w:szCs w:val="23"/>
        </w:rPr>
        <w:t>1</w:t>
      </w:r>
      <w:r>
        <w:rPr>
          <w:rFonts w:ascii="Arial" w:eastAsia="Arial" w:hAnsi="Arial" w:cs="Arial"/>
          <w:b/>
          <w:sz w:val="23"/>
          <w:szCs w:val="23"/>
        </w:rPr>
        <w:t xml:space="preserve"> punto respecto a los resultados de</w:t>
      </w:r>
      <w:r w:rsidR="008375DF">
        <w:rPr>
          <w:rFonts w:ascii="Arial" w:eastAsia="Arial" w:hAnsi="Arial" w:cs="Arial"/>
          <w:b/>
          <w:sz w:val="23"/>
          <w:szCs w:val="23"/>
        </w:rPr>
        <w:t xml:space="preserve"> 2024 </w:t>
      </w:r>
      <w:r>
        <w:rPr>
          <w:rFonts w:ascii="Arial" w:eastAsia="Arial" w:hAnsi="Arial" w:cs="Arial"/>
          <w:b/>
          <w:sz w:val="23"/>
          <w:szCs w:val="23"/>
        </w:rPr>
        <w:t xml:space="preserve">y se sitúa ligeramente por </w:t>
      </w:r>
      <w:r w:rsidR="00743E30">
        <w:rPr>
          <w:rFonts w:ascii="Arial" w:eastAsia="Arial" w:hAnsi="Arial" w:cs="Arial"/>
          <w:b/>
          <w:sz w:val="23"/>
          <w:szCs w:val="23"/>
        </w:rPr>
        <w:t>encima</w:t>
      </w:r>
      <w:r>
        <w:rPr>
          <w:rFonts w:ascii="Arial" w:eastAsia="Arial" w:hAnsi="Arial" w:cs="Arial"/>
          <w:b/>
          <w:sz w:val="23"/>
          <w:szCs w:val="23"/>
        </w:rPr>
        <w:t xml:space="preserve"> de la media nacional.</w:t>
      </w:r>
    </w:p>
    <w:p w14:paraId="46C6CCA1" w14:textId="6B29D196" w:rsidR="00592E1A" w:rsidRPr="00E21991" w:rsidRDefault="000E0F37" w:rsidP="00E21991">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w:t>
      </w:r>
      <w:r w:rsidR="00E21991">
        <w:rPr>
          <w:rFonts w:ascii="Arial" w:eastAsia="Arial" w:hAnsi="Arial" w:cs="Arial"/>
          <w:b/>
          <w:sz w:val="23"/>
          <w:szCs w:val="23"/>
        </w:rPr>
        <w:t>, seguidas por las de Energía y suministros (80%);</w:t>
      </w:r>
      <w:r w:rsidRPr="00E21991">
        <w:rPr>
          <w:rFonts w:ascii="Arial" w:eastAsia="Arial" w:hAnsi="Arial" w:cs="Arial"/>
          <w:b/>
          <w:sz w:val="23"/>
          <w:szCs w:val="23"/>
        </w:rPr>
        <w:t xml:space="preserve"> las de Finanzas e inmobiliario </w:t>
      </w:r>
      <w:r w:rsidR="00E73C35" w:rsidRPr="00E21991">
        <w:rPr>
          <w:rFonts w:ascii="Arial" w:eastAsia="Arial" w:hAnsi="Arial" w:cs="Arial"/>
          <w:b/>
          <w:sz w:val="23"/>
          <w:szCs w:val="23"/>
        </w:rPr>
        <w:t>son las que menos dificultades encuentra</w:t>
      </w:r>
      <w:r w:rsidR="00E21991">
        <w:rPr>
          <w:rFonts w:ascii="Arial" w:eastAsia="Arial" w:hAnsi="Arial" w:cs="Arial"/>
          <w:b/>
          <w:sz w:val="23"/>
          <w:szCs w:val="23"/>
        </w:rPr>
        <w:t>n</w:t>
      </w:r>
      <w:r w:rsidR="00E73C35" w:rsidRPr="00E21991">
        <w:rPr>
          <w:rFonts w:ascii="Arial" w:eastAsia="Arial" w:hAnsi="Arial" w:cs="Arial"/>
          <w:b/>
          <w:sz w:val="23"/>
          <w:szCs w:val="23"/>
        </w:rPr>
        <w:t xml:space="preserve"> </w:t>
      </w:r>
      <w:r w:rsidRPr="00E21991">
        <w:rPr>
          <w:rFonts w:ascii="Arial" w:eastAsia="Arial" w:hAnsi="Arial" w:cs="Arial"/>
          <w:b/>
          <w:sz w:val="23"/>
          <w:szCs w:val="23"/>
        </w:rPr>
        <w:t>con un 69%.</w:t>
      </w:r>
    </w:p>
    <w:p w14:paraId="354E287C" w14:textId="708197B7" w:rsidR="00592E1A" w:rsidRDefault="00E21991"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 mejora y reciclaje profesional de los empleados actuales y medidas de flexibilidad sobre horarios</w:t>
      </w:r>
      <w:r w:rsidR="00592E1A">
        <w:rPr>
          <w:rFonts w:ascii="Arial" w:eastAsia="Arial" w:hAnsi="Arial" w:cs="Arial"/>
          <w:b/>
          <w:sz w:val="23"/>
          <w:szCs w:val="23"/>
        </w:rPr>
        <w:t xml:space="preserve"> son las principales </w:t>
      </w:r>
      <w:r w:rsidR="00592E1A" w:rsidRPr="00592E1A">
        <w:rPr>
          <w:rFonts w:ascii="Arial" w:eastAsia="Arial" w:hAnsi="Arial" w:cs="Arial"/>
          <w:b/>
          <w:color w:val="000000"/>
          <w:sz w:val="23"/>
          <w:szCs w:val="23"/>
        </w:rPr>
        <w:t>estrategias de las compañías energéticas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382808D0" w14:textId="6FFAC797" w:rsidR="00743E30" w:rsidRDefault="001A2A76" w:rsidP="00356679">
      <w:pPr>
        <w:spacing w:before="120" w:line="288" w:lineRule="auto"/>
        <w:jc w:val="both"/>
        <w:rPr>
          <w:rFonts w:ascii="Arial" w:eastAsia="Arial" w:hAnsi="Arial" w:cs="Arial"/>
          <w:bCs/>
          <w:sz w:val="22"/>
          <w:szCs w:val="22"/>
        </w:rPr>
      </w:pPr>
      <w:r w:rsidRPr="00142E26">
        <w:rPr>
          <w:rFonts w:ascii="Arial" w:eastAsia="Arial" w:hAnsi="Arial" w:cs="Arial"/>
          <w:b/>
          <w:sz w:val="22"/>
          <w:szCs w:val="22"/>
        </w:rPr>
        <w:t xml:space="preserve">Madrid, </w:t>
      </w:r>
      <w:bookmarkStart w:id="1" w:name="_Hlk196383962"/>
      <w:r w:rsidR="00804757" w:rsidRPr="00A40FCF">
        <w:rPr>
          <w:rFonts w:ascii="Arial" w:eastAsia="Arial" w:hAnsi="Arial" w:cs="Arial"/>
          <w:b/>
          <w:sz w:val="22"/>
          <w:szCs w:val="22"/>
        </w:rPr>
        <w:t>20</w:t>
      </w:r>
      <w:r w:rsidR="0018572B" w:rsidRPr="00A40FCF">
        <w:rPr>
          <w:rFonts w:ascii="Arial" w:eastAsia="Arial" w:hAnsi="Arial" w:cs="Arial"/>
          <w:b/>
          <w:sz w:val="22"/>
          <w:szCs w:val="22"/>
        </w:rPr>
        <w:t xml:space="preserve"> </w:t>
      </w:r>
      <w:r w:rsidR="005D1AE9" w:rsidRPr="00A40FCF">
        <w:rPr>
          <w:rFonts w:ascii="Arial" w:eastAsia="Arial" w:hAnsi="Arial" w:cs="Arial"/>
          <w:b/>
          <w:sz w:val="22"/>
          <w:szCs w:val="22"/>
        </w:rPr>
        <w:t xml:space="preserve">de </w:t>
      </w:r>
      <w:r w:rsidR="009C6D75" w:rsidRPr="00A40FCF">
        <w:rPr>
          <w:rFonts w:ascii="Arial" w:eastAsia="Arial" w:hAnsi="Arial" w:cs="Arial"/>
          <w:b/>
          <w:sz w:val="22"/>
          <w:szCs w:val="22"/>
        </w:rPr>
        <w:t xml:space="preserve">mayo </w:t>
      </w:r>
      <w:bookmarkEnd w:id="1"/>
      <w:r w:rsidRPr="00142E26">
        <w:rPr>
          <w:rFonts w:ascii="Arial" w:eastAsia="Arial" w:hAnsi="Arial" w:cs="Arial"/>
          <w:b/>
          <w:sz w:val="22"/>
          <w:szCs w:val="22"/>
        </w:rPr>
        <w:t>de 202</w:t>
      </w:r>
      <w:r w:rsidR="006C075B">
        <w:rPr>
          <w:rFonts w:ascii="Arial" w:eastAsia="Arial" w:hAnsi="Arial" w:cs="Arial"/>
          <w:b/>
          <w:sz w:val="22"/>
          <w:szCs w:val="22"/>
        </w:rPr>
        <w:t>5</w:t>
      </w:r>
      <w:r w:rsidRPr="00142E26">
        <w:rPr>
          <w:rFonts w:ascii="Arial" w:eastAsia="Arial" w:hAnsi="Arial" w:cs="Arial"/>
          <w:b/>
          <w:sz w:val="22"/>
          <w:szCs w:val="22"/>
        </w:rPr>
        <w:t>.-</w:t>
      </w:r>
      <w:bookmarkStart w:id="2" w:name="_Hlk113557102"/>
      <w:bookmarkStart w:id="3" w:name="_Hlk90223537"/>
      <w:bookmarkStart w:id="4" w:name="_Hlk89449303"/>
      <w:bookmarkStart w:id="5" w:name="_Hlk89449332"/>
      <w:r w:rsidR="005D1AE9" w:rsidRPr="00142E26">
        <w:rPr>
          <w:rFonts w:ascii="Arial" w:eastAsia="Arial" w:hAnsi="Arial" w:cs="Arial"/>
          <w:b/>
          <w:sz w:val="22"/>
          <w:szCs w:val="22"/>
        </w:rPr>
        <w:t xml:space="preserve"> </w:t>
      </w:r>
      <w:bookmarkStart w:id="6"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042CDD" w:rsidRPr="00743E30">
        <w:rPr>
          <w:rFonts w:ascii="Arial" w:eastAsia="Arial" w:hAnsi="Arial" w:cs="Arial"/>
          <w:b/>
          <w:sz w:val="22"/>
          <w:szCs w:val="22"/>
        </w:rPr>
        <w:t>el 7</w:t>
      </w:r>
      <w:r w:rsidR="00743E30" w:rsidRPr="00743E30">
        <w:rPr>
          <w:rFonts w:ascii="Arial" w:eastAsia="Arial" w:hAnsi="Arial" w:cs="Arial"/>
          <w:b/>
          <w:sz w:val="22"/>
          <w:szCs w:val="22"/>
        </w:rPr>
        <w:t>7</w:t>
      </w:r>
      <w:r w:rsidR="00042CDD" w:rsidRPr="00743E30">
        <w:rPr>
          <w:rFonts w:ascii="Arial" w:eastAsia="Arial" w:hAnsi="Arial" w:cs="Arial"/>
          <w:b/>
          <w:sz w:val="22"/>
          <w:szCs w:val="22"/>
        </w:rPr>
        <w:t xml:space="preserve">% de las empresas del sector </w:t>
      </w:r>
      <w:r w:rsidR="00743E30" w:rsidRPr="00743E30">
        <w:rPr>
          <w:rFonts w:ascii="Arial" w:eastAsia="Arial" w:hAnsi="Arial" w:cs="Arial"/>
          <w:b/>
          <w:sz w:val="22"/>
          <w:szCs w:val="22"/>
        </w:rPr>
        <w:t>Bienes y servicios de consumo</w:t>
      </w:r>
      <w:r w:rsidR="00042CDD">
        <w:rPr>
          <w:rFonts w:ascii="Arial" w:eastAsia="Arial" w:hAnsi="Arial" w:cs="Arial"/>
          <w:bCs/>
          <w:sz w:val="22"/>
          <w:szCs w:val="22"/>
        </w:rPr>
        <w:t xml:space="preserve"> en España </w:t>
      </w:r>
      <w:r w:rsidR="00743E30">
        <w:rPr>
          <w:rFonts w:ascii="Arial" w:eastAsia="Arial" w:hAnsi="Arial" w:cs="Arial"/>
          <w:bCs/>
          <w:sz w:val="22"/>
          <w:szCs w:val="22"/>
        </w:rPr>
        <w:t xml:space="preserve">afirma tener dificultades para encontrar a los profesionales que busca. </w:t>
      </w:r>
      <w:r w:rsidR="009C6D75">
        <w:rPr>
          <w:rFonts w:ascii="Arial" w:eastAsia="Arial" w:hAnsi="Arial" w:cs="Arial"/>
          <w:bCs/>
          <w:sz w:val="22"/>
          <w:szCs w:val="22"/>
        </w:rPr>
        <w:t xml:space="preserve">Este resultado supone una </w:t>
      </w:r>
      <w:r w:rsidR="00743E30">
        <w:rPr>
          <w:rFonts w:ascii="Arial" w:eastAsia="Arial" w:hAnsi="Arial" w:cs="Arial"/>
          <w:bCs/>
          <w:sz w:val="22"/>
          <w:szCs w:val="22"/>
        </w:rPr>
        <w:t xml:space="preserve">mejora </w:t>
      </w:r>
      <w:r w:rsidR="009C6D75">
        <w:rPr>
          <w:rFonts w:ascii="Arial" w:eastAsia="Arial" w:hAnsi="Arial" w:cs="Arial"/>
          <w:bCs/>
          <w:sz w:val="22"/>
          <w:szCs w:val="22"/>
        </w:rPr>
        <w:t xml:space="preserve">de </w:t>
      </w:r>
      <w:r w:rsidR="008375DF">
        <w:rPr>
          <w:rFonts w:ascii="Arial" w:eastAsia="Arial" w:hAnsi="Arial" w:cs="Arial"/>
          <w:bCs/>
          <w:sz w:val="22"/>
          <w:szCs w:val="22"/>
        </w:rPr>
        <w:t xml:space="preserve">1 punto </w:t>
      </w:r>
      <w:r w:rsidR="00743E30">
        <w:rPr>
          <w:rFonts w:ascii="Arial" w:eastAsia="Arial" w:hAnsi="Arial" w:cs="Arial"/>
          <w:bCs/>
          <w:sz w:val="22"/>
          <w:szCs w:val="22"/>
        </w:rPr>
        <w:t>respecto a los resultados de 2024 y</w:t>
      </w:r>
      <w:r w:rsidR="006B0CE1">
        <w:rPr>
          <w:rFonts w:ascii="Arial" w:eastAsia="Arial" w:hAnsi="Arial" w:cs="Arial"/>
          <w:bCs/>
          <w:sz w:val="22"/>
          <w:szCs w:val="22"/>
        </w:rPr>
        <w:t xml:space="preserve">, </w:t>
      </w:r>
      <w:r w:rsidR="009C6D75">
        <w:rPr>
          <w:rFonts w:ascii="Arial" w:eastAsia="Arial" w:hAnsi="Arial" w:cs="Arial"/>
          <w:bCs/>
          <w:sz w:val="22"/>
          <w:szCs w:val="22"/>
        </w:rPr>
        <w:t xml:space="preserve">aunque mantiene al sector </w:t>
      </w:r>
      <w:r w:rsidR="00743E30">
        <w:rPr>
          <w:rFonts w:ascii="Arial" w:eastAsia="Arial" w:hAnsi="Arial" w:cs="Arial"/>
          <w:bCs/>
          <w:sz w:val="22"/>
          <w:szCs w:val="22"/>
        </w:rPr>
        <w:t>por encima de la media nacional (75%)</w:t>
      </w:r>
      <w:r w:rsidR="006B0CE1">
        <w:rPr>
          <w:rFonts w:ascii="Arial" w:eastAsia="Arial" w:hAnsi="Arial" w:cs="Arial"/>
          <w:bCs/>
          <w:sz w:val="22"/>
          <w:szCs w:val="22"/>
        </w:rPr>
        <w:t xml:space="preserve">, a </w:t>
      </w:r>
      <w:r w:rsidR="0094198F">
        <w:rPr>
          <w:rFonts w:ascii="Arial" w:eastAsia="Arial" w:hAnsi="Arial" w:cs="Arial"/>
          <w:bCs/>
          <w:sz w:val="22"/>
          <w:szCs w:val="22"/>
        </w:rPr>
        <w:t>nivel internacional, las empresas de este sector reportan un dato inferior, 73%, tras mejorar en tres puntos los resultados del año previo.</w:t>
      </w:r>
    </w:p>
    <w:p w14:paraId="48B0B605" w14:textId="0F3BA263" w:rsidR="00042CDD" w:rsidRDefault="00042CDD" w:rsidP="00042CDD">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 </w:t>
      </w:r>
      <w:r w:rsidRPr="00042CDD">
        <w:rPr>
          <w:rFonts w:ascii="Arial" w:eastAsia="Arial" w:hAnsi="Arial" w:cs="Arial"/>
          <w:b/>
          <w:sz w:val="22"/>
          <w:szCs w:val="22"/>
        </w:rPr>
        <w:t>Logística, transporte y automoción</w:t>
      </w:r>
      <w:r>
        <w:rPr>
          <w:rFonts w:ascii="Arial" w:eastAsia="Arial" w:hAnsi="Arial" w:cs="Arial"/>
          <w:bCs/>
          <w:sz w:val="22"/>
          <w:szCs w:val="22"/>
        </w:rPr>
        <w:t xml:space="preserve"> se posicionan como las </w:t>
      </w:r>
      <w:r w:rsidR="0094198F">
        <w:rPr>
          <w:rFonts w:ascii="Arial" w:eastAsia="Arial" w:hAnsi="Arial" w:cs="Arial"/>
          <w:bCs/>
          <w:sz w:val="22"/>
          <w:szCs w:val="22"/>
        </w:rPr>
        <w:t xml:space="preserve">más </w:t>
      </w:r>
      <w:r>
        <w:rPr>
          <w:rFonts w:ascii="Arial" w:eastAsia="Arial" w:hAnsi="Arial" w:cs="Arial"/>
          <w:bCs/>
          <w:sz w:val="22"/>
          <w:szCs w:val="22"/>
        </w:rPr>
        <w:t xml:space="preserve">afectadas por el desajuste de talento con un 84%, seguidas muy de cerca </w:t>
      </w:r>
      <w:r w:rsidR="00743E30">
        <w:rPr>
          <w:rFonts w:ascii="Arial" w:eastAsia="Arial" w:hAnsi="Arial" w:cs="Arial"/>
          <w:bCs/>
          <w:sz w:val="22"/>
          <w:szCs w:val="22"/>
        </w:rPr>
        <w:t>por</w:t>
      </w:r>
      <w:r>
        <w:rPr>
          <w:rFonts w:ascii="Arial" w:eastAsia="Arial" w:hAnsi="Arial" w:cs="Arial"/>
          <w:bCs/>
          <w:sz w:val="22"/>
          <w:szCs w:val="22"/>
        </w:rPr>
        <w:t xml:space="preserve"> las empresas de </w:t>
      </w:r>
      <w:r w:rsidRPr="00042CDD">
        <w:rPr>
          <w:rFonts w:ascii="Arial" w:eastAsia="Arial" w:hAnsi="Arial" w:cs="Arial"/>
          <w:b/>
          <w:sz w:val="22"/>
          <w:szCs w:val="22"/>
        </w:rPr>
        <w:t>Energía y suministros</w:t>
      </w:r>
      <w:r>
        <w:rPr>
          <w:rFonts w:ascii="Arial" w:eastAsia="Arial" w:hAnsi="Arial" w:cs="Arial"/>
          <w:bCs/>
          <w:sz w:val="22"/>
          <w:szCs w:val="22"/>
        </w:rPr>
        <w:t xml:space="preserve"> con un 80%. Por su parte, </w:t>
      </w:r>
      <w:r w:rsidR="00743E30">
        <w:rPr>
          <w:rFonts w:ascii="Arial" w:eastAsia="Arial" w:hAnsi="Arial" w:cs="Arial"/>
          <w:b/>
          <w:sz w:val="22"/>
          <w:szCs w:val="22"/>
        </w:rPr>
        <w:t>Tecnología</w:t>
      </w:r>
      <w:r>
        <w:rPr>
          <w:rFonts w:ascii="Arial" w:eastAsia="Arial" w:hAnsi="Arial" w:cs="Arial"/>
          <w:bCs/>
          <w:sz w:val="22"/>
          <w:szCs w:val="22"/>
        </w:rPr>
        <w:t xml:space="preserve"> </w:t>
      </w:r>
      <w:r w:rsidR="00743E30">
        <w:rPr>
          <w:rFonts w:ascii="Arial" w:eastAsia="Arial" w:hAnsi="Arial" w:cs="Arial"/>
          <w:bCs/>
          <w:sz w:val="22"/>
          <w:szCs w:val="22"/>
        </w:rPr>
        <w:t xml:space="preserve">mantiene la misma cifra del año pasado y </w:t>
      </w:r>
      <w:r>
        <w:rPr>
          <w:rFonts w:ascii="Arial" w:eastAsia="Arial" w:hAnsi="Arial" w:cs="Arial"/>
          <w:bCs/>
          <w:sz w:val="22"/>
          <w:szCs w:val="22"/>
        </w:rPr>
        <w:t>continúa enfrentando desafíos con un 7</w:t>
      </w:r>
      <w:r w:rsidR="00743E30">
        <w:rPr>
          <w:rFonts w:ascii="Arial" w:eastAsia="Arial" w:hAnsi="Arial" w:cs="Arial"/>
          <w:bCs/>
          <w:sz w:val="22"/>
          <w:szCs w:val="22"/>
        </w:rPr>
        <w:t>8</w:t>
      </w:r>
      <w:r>
        <w:rPr>
          <w:rFonts w:ascii="Arial" w:eastAsia="Arial" w:hAnsi="Arial" w:cs="Arial"/>
          <w:bCs/>
          <w:sz w:val="22"/>
          <w:szCs w:val="22"/>
        </w:rPr>
        <w:t>%</w:t>
      </w:r>
      <w:r w:rsidR="00743E30">
        <w:rPr>
          <w:rFonts w:ascii="Arial" w:eastAsia="Arial" w:hAnsi="Arial" w:cs="Arial"/>
          <w:bCs/>
          <w:sz w:val="22"/>
          <w:szCs w:val="22"/>
        </w:rPr>
        <w:t xml:space="preserve">. </w:t>
      </w:r>
      <w:r w:rsidRPr="00042CDD">
        <w:rPr>
          <w:rFonts w:ascii="Arial" w:eastAsia="Arial" w:hAnsi="Arial" w:cs="Arial"/>
          <w:b/>
          <w:sz w:val="22"/>
          <w:szCs w:val="22"/>
        </w:rPr>
        <w:t>Industria</w:t>
      </w:r>
      <w:r>
        <w:rPr>
          <w:rFonts w:ascii="Arial" w:eastAsia="Arial" w:hAnsi="Arial" w:cs="Arial"/>
          <w:bCs/>
          <w:sz w:val="22"/>
          <w:szCs w:val="22"/>
        </w:rPr>
        <w:t xml:space="preserve"> presenta un 75%, en línea con la media nacional</w:t>
      </w:r>
      <w:r w:rsidR="00743E30">
        <w:rPr>
          <w:rFonts w:ascii="Arial" w:eastAsia="Arial" w:hAnsi="Arial" w:cs="Arial"/>
          <w:bCs/>
          <w:sz w:val="22"/>
          <w:szCs w:val="22"/>
        </w:rPr>
        <w:t xml:space="preserve"> y c</w:t>
      </w:r>
      <w:r>
        <w:rPr>
          <w:rFonts w:ascii="Arial" w:eastAsia="Arial" w:hAnsi="Arial" w:cs="Arial"/>
          <w:bCs/>
          <w:sz w:val="22"/>
          <w:szCs w:val="22"/>
        </w:rPr>
        <w:t xml:space="preserve">ierra la clasificación, como la que menos dificultades encuentra, </w:t>
      </w:r>
      <w:r w:rsidRPr="00BD6BF9">
        <w:rPr>
          <w:rFonts w:ascii="Arial" w:eastAsia="Arial" w:hAnsi="Arial" w:cs="Arial"/>
          <w:b/>
          <w:sz w:val="22"/>
          <w:szCs w:val="22"/>
        </w:rPr>
        <w:t>Finanzas e inmobiliario</w:t>
      </w:r>
      <w:r>
        <w:rPr>
          <w:rFonts w:ascii="Arial" w:eastAsia="Arial" w:hAnsi="Arial" w:cs="Arial"/>
          <w:bCs/>
          <w:sz w:val="22"/>
          <w:szCs w:val="22"/>
        </w:rPr>
        <w:t>, que desciende 1 punto y se sitúa en un 69%.</w:t>
      </w:r>
    </w:p>
    <w:p w14:paraId="36746239" w14:textId="01F66173" w:rsidR="000C4548" w:rsidRPr="00042CDD" w:rsidRDefault="00743E30" w:rsidP="00743E30">
      <w:pPr>
        <w:spacing w:before="120" w:line="288" w:lineRule="auto"/>
        <w:jc w:val="both"/>
        <w:rPr>
          <w:rFonts w:ascii="Arial" w:eastAsia="Arial" w:hAnsi="Arial" w:cs="Arial"/>
          <w:b/>
          <w:sz w:val="22"/>
          <w:szCs w:val="22"/>
        </w:rPr>
      </w:pPr>
      <w:r w:rsidRPr="0094198F">
        <w:rPr>
          <w:rFonts w:ascii="Arial" w:eastAsia="Arial" w:hAnsi="Arial" w:cs="Arial"/>
          <w:b/>
          <w:sz w:val="22"/>
          <w:szCs w:val="22"/>
        </w:rPr>
        <w:t>Yaiza Marrero, directora corporativa Gran Consumo y Comercio de ManpowerGroup</w:t>
      </w:r>
      <w:r w:rsidR="008375DF" w:rsidRPr="0094198F">
        <w:rPr>
          <w:rFonts w:ascii="Arial" w:eastAsia="Arial" w:hAnsi="Arial" w:cs="Arial"/>
          <w:b/>
          <w:sz w:val="22"/>
          <w:szCs w:val="22"/>
        </w:rPr>
        <w:t xml:space="preserve"> </w:t>
      </w:r>
      <w:r w:rsidR="008375DF" w:rsidRPr="0094198F">
        <w:rPr>
          <w:rFonts w:ascii="Arial" w:eastAsia="Arial" w:hAnsi="Arial" w:cs="Arial"/>
          <w:bCs/>
          <w:sz w:val="22"/>
          <w:szCs w:val="22"/>
        </w:rPr>
        <w:t xml:space="preserve">destaca que </w:t>
      </w:r>
      <w:r w:rsidR="008375DF" w:rsidRPr="0094198F">
        <w:rPr>
          <w:rFonts w:ascii="Arial" w:eastAsia="Arial" w:hAnsi="Arial" w:cs="Arial"/>
          <w:bCs/>
          <w:i/>
          <w:iCs/>
          <w:sz w:val="22"/>
          <w:szCs w:val="22"/>
        </w:rPr>
        <w:t xml:space="preserve">“las empresas del sector están haciendo un esfuerzo importante por adaptar su propuesta de valor </w:t>
      </w:r>
      <w:r w:rsidR="0094198F" w:rsidRPr="0094198F">
        <w:rPr>
          <w:rFonts w:ascii="Arial" w:eastAsia="Arial" w:hAnsi="Arial" w:cs="Arial"/>
          <w:bCs/>
          <w:i/>
          <w:iCs/>
          <w:sz w:val="22"/>
          <w:szCs w:val="22"/>
        </w:rPr>
        <w:t>para atraer y fidelizar talento</w:t>
      </w:r>
      <w:r w:rsidR="008375DF" w:rsidRPr="0094198F">
        <w:rPr>
          <w:rFonts w:ascii="Arial" w:eastAsia="Arial" w:hAnsi="Arial" w:cs="Arial"/>
          <w:bCs/>
          <w:i/>
          <w:iCs/>
          <w:sz w:val="22"/>
          <w:szCs w:val="22"/>
        </w:rPr>
        <w:t xml:space="preserve">, con una clara apuesta por la flexibilidad y la formación continua. </w:t>
      </w:r>
      <w:r w:rsidR="0094198F" w:rsidRPr="0094198F">
        <w:rPr>
          <w:rFonts w:ascii="Arial" w:eastAsia="Arial" w:hAnsi="Arial" w:cs="Arial"/>
          <w:bCs/>
          <w:i/>
          <w:iCs/>
          <w:sz w:val="22"/>
          <w:szCs w:val="22"/>
        </w:rPr>
        <w:t>Pero el dato se mantiene como preocupante y la situación, por su complejidad, requiere de acciones transversales a distintos niveles en las que haya coordinación y colaboración público-privada</w:t>
      </w:r>
      <w:r w:rsidR="008375DF" w:rsidRPr="0094198F">
        <w:rPr>
          <w:rFonts w:ascii="Arial" w:eastAsia="Arial" w:hAnsi="Arial" w:cs="Arial"/>
          <w:bCs/>
          <w:i/>
          <w:iCs/>
          <w:sz w:val="22"/>
          <w:szCs w:val="22"/>
        </w:rPr>
        <w:t>.”</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02C7E1B9">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3FA91001" w14:textId="58A81522" w:rsidR="00331DBC" w:rsidRDefault="002D7DFB" w:rsidP="00356679">
      <w:pPr>
        <w:spacing w:before="120" w:line="288" w:lineRule="auto"/>
        <w:jc w:val="both"/>
        <w:rPr>
          <w:rFonts w:ascii="Arial" w:eastAsia="Arial" w:hAnsi="Arial" w:cs="Arial"/>
          <w:b/>
          <w:sz w:val="22"/>
          <w:szCs w:val="22"/>
        </w:rPr>
      </w:pPr>
      <w:r>
        <w:rPr>
          <w:rFonts w:ascii="Arial" w:eastAsia="Arial" w:hAnsi="Arial" w:cs="Arial"/>
          <w:b/>
          <w:sz w:val="22"/>
          <w:szCs w:val="22"/>
        </w:rPr>
        <w:t>Recepción y atención al cliente</w:t>
      </w:r>
      <w:r w:rsidR="000F1979">
        <w:rPr>
          <w:rFonts w:ascii="Arial" w:eastAsia="Arial" w:hAnsi="Arial" w:cs="Arial"/>
          <w:b/>
          <w:sz w:val="22"/>
          <w:szCs w:val="22"/>
        </w:rPr>
        <w:t>,</w:t>
      </w:r>
      <w:r w:rsidR="00800860">
        <w:rPr>
          <w:rFonts w:ascii="Arial" w:eastAsia="Arial" w:hAnsi="Arial" w:cs="Arial"/>
          <w:b/>
          <w:sz w:val="22"/>
          <w:szCs w:val="22"/>
        </w:rPr>
        <w:t xml:space="preserve"> la </w:t>
      </w:r>
      <w:r w:rsidR="00201989">
        <w:rPr>
          <w:rFonts w:ascii="Arial" w:eastAsia="Arial" w:hAnsi="Arial" w:cs="Arial"/>
          <w:b/>
          <w:sz w:val="22"/>
          <w:szCs w:val="22"/>
        </w:rPr>
        <w:t>competencia más difícil</w:t>
      </w:r>
      <w:r w:rsidR="00800860">
        <w:rPr>
          <w:rFonts w:ascii="Arial" w:eastAsia="Arial" w:hAnsi="Arial" w:cs="Arial"/>
          <w:b/>
          <w:sz w:val="22"/>
          <w:szCs w:val="22"/>
        </w:rPr>
        <w:t xml:space="preserve"> de encontrar </w:t>
      </w:r>
      <w:r>
        <w:rPr>
          <w:rFonts w:ascii="Arial" w:eastAsia="Arial" w:hAnsi="Arial" w:cs="Arial"/>
          <w:b/>
          <w:sz w:val="22"/>
          <w:szCs w:val="22"/>
        </w:rPr>
        <w:t xml:space="preserve">para </w:t>
      </w:r>
      <w:r w:rsidR="0094198F">
        <w:rPr>
          <w:rFonts w:ascii="Arial" w:eastAsia="Arial" w:hAnsi="Arial" w:cs="Arial"/>
          <w:b/>
          <w:sz w:val="22"/>
          <w:szCs w:val="22"/>
        </w:rPr>
        <w:t xml:space="preserve">las compañías de </w:t>
      </w:r>
      <w:r>
        <w:rPr>
          <w:rFonts w:ascii="Arial" w:eastAsia="Arial" w:hAnsi="Arial" w:cs="Arial"/>
          <w:b/>
          <w:sz w:val="22"/>
          <w:szCs w:val="22"/>
        </w:rPr>
        <w:t>Bienes y servicios de consumo</w:t>
      </w:r>
    </w:p>
    <w:p w14:paraId="51390185" w14:textId="484534E2" w:rsidR="002D7DFB" w:rsidRDefault="00201989"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del sector encuentran dificultades para cubrir ciertos perfiles técnicos esenciales para su operativa y crecimiento. En particular, </w:t>
      </w:r>
      <w:r w:rsidR="002D7DFB">
        <w:rPr>
          <w:rFonts w:ascii="Arial" w:eastAsia="Arial" w:hAnsi="Arial" w:cs="Arial"/>
          <w:bCs/>
          <w:sz w:val="22"/>
          <w:szCs w:val="22"/>
        </w:rPr>
        <w:t xml:space="preserve">un tercio de las empresas reporta problemas </w:t>
      </w:r>
      <w:r w:rsidR="0096302C">
        <w:rPr>
          <w:rFonts w:ascii="Arial" w:eastAsia="Arial" w:hAnsi="Arial" w:cs="Arial"/>
          <w:bCs/>
          <w:sz w:val="22"/>
          <w:szCs w:val="22"/>
        </w:rPr>
        <w:t xml:space="preserve">para encontrar perfiles cualificados en </w:t>
      </w:r>
      <w:r w:rsidR="0096302C" w:rsidRPr="0096302C">
        <w:rPr>
          <w:rFonts w:ascii="Arial" w:eastAsia="Arial" w:hAnsi="Arial" w:cs="Arial"/>
          <w:b/>
          <w:sz w:val="22"/>
          <w:szCs w:val="22"/>
        </w:rPr>
        <w:t>Recepción y atención al cliente</w:t>
      </w:r>
      <w:r w:rsidR="0096302C">
        <w:rPr>
          <w:rFonts w:ascii="Arial" w:eastAsia="Arial" w:hAnsi="Arial" w:cs="Arial"/>
          <w:bCs/>
          <w:sz w:val="22"/>
          <w:szCs w:val="22"/>
        </w:rPr>
        <w:t xml:space="preserve">, competencia clave para fortalecer la relación con el cliente. </w:t>
      </w:r>
      <w:r w:rsidR="0096302C" w:rsidRPr="0096302C">
        <w:rPr>
          <w:rFonts w:ascii="Arial" w:eastAsia="Arial" w:hAnsi="Arial" w:cs="Arial"/>
          <w:b/>
          <w:sz w:val="22"/>
          <w:szCs w:val="22"/>
        </w:rPr>
        <w:t>Operaciones y logística</w:t>
      </w:r>
      <w:r w:rsidR="0096302C">
        <w:rPr>
          <w:rFonts w:ascii="Arial" w:eastAsia="Arial" w:hAnsi="Arial" w:cs="Arial"/>
          <w:bCs/>
          <w:sz w:val="22"/>
          <w:szCs w:val="22"/>
        </w:rPr>
        <w:t xml:space="preserve"> (23%) y </w:t>
      </w:r>
      <w:r w:rsidR="0096302C" w:rsidRPr="0096302C">
        <w:rPr>
          <w:rFonts w:ascii="Arial" w:eastAsia="Arial" w:hAnsi="Arial" w:cs="Arial"/>
          <w:b/>
          <w:sz w:val="22"/>
          <w:szCs w:val="22"/>
        </w:rPr>
        <w:t>Manufactura y producción</w:t>
      </w:r>
      <w:r w:rsidR="0096302C">
        <w:rPr>
          <w:rFonts w:ascii="Arial" w:eastAsia="Arial" w:hAnsi="Arial" w:cs="Arial"/>
          <w:bCs/>
          <w:sz w:val="22"/>
          <w:szCs w:val="22"/>
        </w:rPr>
        <w:t xml:space="preserve"> (21%), ambas relacionadas con las mejoras de procesos y eficiencias, también presentan notables dificultades. </w:t>
      </w:r>
    </w:p>
    <w:p w14:paraId="37A4E1C2" w14:textId="41BD5FCC" w:rsidR="0096302C" w:rsidRDefault="0096302C"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áreas como </w:t>
      </w:r>
      <w:r w:rsidRPr="0096302C">
        <w:rPr>
          <w:rFonts w:ascii="Arial" w:eastAsia="Arial" w:hAnsi="Arial" w:cs="Arial"/>
          <w:b/>
          <w:sz w:val="22"/>
          <w:szCs w:val="22"/>
        </w:rPr>
        <w:t>IT y data</w:t>
      </w:r>
      <w:r>
        <w:rPr>
          <w:rFonts w:ascii="Arial" w:eastAsia="Arial" w:hAnsi="Arial" w:cs="Arial"/>
          <w:bCs/>
          <w:sz w:val="22"/>
          <w:szCs w:val="22"/>
        </w:rPr>
        <w:t xml:space="preserve"> (19%), </w:t>
      </w:r>
      <w:r w:rsidRPr="0096302C">
        <w:rPr>
          <w:rFonts w:ascii="Arial" w:eastAsia="Arial" w:hAnsi="Arial" w:cs="Arial"/>
          <w:b/>
          <w:sz w:val="22"/>
          <w:szCs w:val="22"/>
        </w:rPr>
        <w:t>Ventas y marketing y Sostenibilidad</w:t>
      </w:r>
      <w:r>
        <w:rPr>
          <w:rFonts w:ascii="Arial" w:eastAsia="Arial" w:hAnsi="Arial" w:cs="Arial"/>
          <w:bCs/>
          <w:sz w:val="22"/>
          <w:szCs w:val="22"/>
        </w:rPr>
        <w:t xml:space="preserve"> (ambas con un 15%), son otras de las áreas con escasez de talento. </w:t>
      </w:r>
      <w:r w:rsidR="008375DF" w:rsidRPr="008375DF">
        <w:rPr>
          <w:rFonts w:ascii="Arial" w:eastAsia="Arial" w:hAnsi="Arial" w:cs="Arial"/>
          <w:bCs/>
          <w:sz w:val="22"/>
          <w:szCs w:val="22"/>
        </w:rPr>
        <w:t>Estos datos evidencian la necesidad de reforzar las estrategias de formación y atracción de profesionales para impulsar la competitividad en un sector directamente vinculado con la experiencia del consumidor.</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4C2BAF67">
            <wp:extent cx="5380138" cy="2290844"/>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380138" cy="2290844"/>
                    </a:xfrm>
                    <a:prstGeom prst="rect">
                      <a:avLst/>
                    </a:prstGeom>
                  </pic:spPr>
                </pic:pic>
              </a:graphicData>
            </a:graphic>
          </wp:inline>
        </w:drawing>
      </w:r>
    </w:p>
    <w:p w14:paraId="70E665F0" w14:textId="66381DC1" w:rsidR="00737CAD" w:rsidRPr="00BD6BF9" w:rsidRDefault="00BD6BF9" w:rsidP="00737CAD">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Pr="00BD6BF9">
        <w:rPr>
          <w:rFonts w:ascii="Arial" w:eastAsia="Arial" w:hAnsi="Arial" w:cs="Arial"/>
          <w:bCs/>
          <w:i/>
          <w:iCs/>
          <w:sz w:val="18"/>
          <w:szCs w:val="18"/>
        </w:rPr>
        <w:t xml:space="preserve"> </w:t>
      </w:r>
      <w:r w:rsidR="009A2660">
        <w:rPr>
          <w:rFonts w:ascii="Arial" w:eastAsia="Arial" w:hAnsi="Arial" w:cs="Arial"/>
          <w:bCs/>
          <w:i/>
          <w:iCs/>
          <w:sz w:val="18"/>
          <w:szCs w:val="18"/>
        </w:rPr>
        <w:t xml:space="preserve">las compañías de </w:t>
      </w:r>
      <w:r w:rsidR="002D7DFB">
        <w:rPr>
          <w:rFonts w:ascii="Arial" w:eastAsia="Arial" w:hAnsi="Arial" w:cs="Arial"/>
          <w:bCs/>
          <w:i/>
          <w:iCs/>
          <w:sz w:val="18"/>
          <w:szCs w:val="18"/>
        </w:rPr>
        <w:t>Bienes y servicios de consumo</w:t>
      </w:r>
    </w:p>
    <w:p w14:paraId="63C5CE0B" w14:textId="77777777" w:rsidR="00945101" w:rsidRDefault="00945101" w:rsidP="000167D3">
      <w:pPr>
        <w:spacing w:before="120" w:line="288" w:lineRule="auto"/>
        <w:jc w:val="both"/>
        <w:rPr>
          <w:rFonts w:ascii="Arial" w:eastAsia="Arial" w:hAnsi="Arial" w:cs="Arial"/>
          <w:b/>
          <w:sz w:val="22"/>
          <w:szCs w:val="22"/>
        </w:rPr>
      </w:pPr>
    </w:p>
    <w:p w14:paraId="6B856972" w14:textId="433FA480" w:rsidR="007A598F" w:rsidRPr="00945101" w:rsidRDefault="007A598F"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El reciclaje profesional y la flexibilidad horaria</w:t>
      </w:r>
      <w:r w:rsidR="00411E78">
        <w:rPr>
          <w:rFonts w:ascii="Arial" w:eastAsia="Arial" w:hAnsi="Arial" w:cs="Arial"/>
          <w:b/>
          <w:sz w:val="22"/>
          <w:szCs w:val="22"/>
        </w:rPr>
        <w:t xml:space="preserve">, </w:t>
      </w:r>
      <w:r>
        <w:rPr>
          <w:rFonts w:ascii="Arial" w:eastAsia="Arial" w:hAnsi="Arial" w:cs="Arial"/>
          <w:b/>
          <w:sz w:val="22"/>
          <w:szCs w:val="22"/>
        </w:rPr>
        <w:t>principales estrategias del sector tecnológico</w:t>
      </w:r>
      <w:r w:rsidR="00411E78">
        <w:rPr>
          <w:rFonts w:ascii="Arial" w:eastAsia="Arial" w:hAnsi="Arial" w:cs="Arial"/>
          <w:b/>
          <w:sz w:val="22"/>
          <w:szCs w:val="22"/>
        </w:rPr>
        <w:t xml:space="preserve"> para abordar el desajuste de talento</w:t>
      </w:r>
    </w:p>
    <w:p w14:paraId="3F649A88" w14:textId="1F342CC5" w:rsidR="00F86DDB" w:rsidRDefault="007A598F"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hacer frente a </w:t>
      </w:r>
      <w:r w:rsidR="00F86DDB">
        <w:rPr>
          <w:rFonts w:ascii="Arial" w:eastAsia="Arial" w:hAnsi="Arial" w:cs="Arial"/>
          <w:bCs/>
          <w:sz w:val="22"/>
          <w:szCs w:val="22"/>
        </w:rPr>
        <w:t>la</w:t>
      </w:r>
      <w:r>
        <w:rPr>
          <w:rFonts w:ascii="Arial" w:eastAsia="Arial" w:hAnsi="Arial" w:cs="Arial"/>
          <w:bCs/>
          <w:sz w:val="22"/>
          <w:szCs w:val="22"/>
        </w:rPr>
        <w:t xml:space="preserve"> escasez de </w:t>
      </w:r>
      <w:r w:rsidR="00F86DDB">
        <w:rPr>
          <w:rFonts w:ascii="Arial" w:eastAsia="Arial" w:hAnsi="Arial" w:cs="Arial"/>
          <w:bCs/>
          <w:sz w:val="22"/>
          <w:szCs w:val="22"/>
        </w:rPr>
        <w:t>profesionales cualificados</w:t>
      </w:r>
      <w:r>
        <w:rPr>
          <w:rFonts w:ascii="Arial" w:eastAsia="Arial" w:hAnsi="Arial" w:cs="Arial"/>
          <w:bCs/>
          <w:sz w:val="22"/>
          <w:szCs w:val="22"/>
        </w:rPr>
        <w:t xml:space="preserve">, las empresas </w:t>
      </w:r>
      <w:r w:rsidR="00F86DDB">
        <w:rPr>
          <w:rFonts w:ascii="Arial" w:eastAsia="Arial" w:hAnsi="Arial" w:cs="Arial"/>
          <w:bCs/>
          <w:sz w:val="22"/>
          <w:szCs w:val="22"/>
        </w:rPr>
        <w:t>de Bienes y servicios de consumo</w:t>
      </w:r>
      <w:r>
        <w:rPr>
          <w:rFonts w:ascii="Arial" w:eastAsia="Arial" w:hAnsi="Arial" w:cs="Arial"/>
          <w:bCs/>
          <w:sz w:val="22"/>
          <w:szCs w:val="22"/>
        </w:rPr>
        <w:t xml:space="preserve"> están implementando diversas estrategias. </w:t>
      </w:r>
      <w:r w:rsidRPr="007A598F">
        <w:rPr>
          <w:rFonts w:ascii="Arial" w:eastAsia="Arial" w:hAnsi="Arial" w:cs="Arial"/>
          <w:b/>
          <w:sz w:val="22"/>
          <w:szCs w:val="22"/>
        </w:rPr>
        <w:t>Un 2</w:t>
      </w:r>
      <w:r w:rsidR="00F86DDB">
        <w:rPr>
          <w:rFonts w:ascii="Arial" w:eastAsia="Arial" w:hAnsi="Arial" w:cs="Arial"/>
          <w:b/>
          <w:sz w:val="22"/>
          <w:szCs w:val="22"/>
        </w:rPr>
        <w:t>3</w:t>
      </w:r>
      <w:r w:rsidRPr="007A598F">
        <w:rPr>
          <w:rFonts w:ascii="Arial" w:eastAsia="Arial" w:hAnsi="Arial" w:cs="Arial"/>
          <w:b/>
          <w:sz w:val="22"/>
          <w:szCs w:val="22"/>
        </w:rPr>
        <w:t>% de ellas está invirtiendo en la mejora y reciclaje profesional de los empleados actuales</w:t>
      </w:r>
      <w:r>
        <w:rPr>
          <w:rFonts w:ascii="Arial" w:eastAsia="Arial" w:hAnsi="Arial" w:cs="Arial"/>
          <w:bCs/>
          <w:sz w:val="22"/>
          <w:szCs w:val="22"/>
        </w:rPr>
        <w:t xml:space="preserve"> para capacitar al talento interno en competencias clave</w:t>
      </w:r>
      <w:r w:rsidR="00F86DDB">
        <w:rPr>
          <w:rFonts w:ascii="Arial" w:eastAsia="Arial" w:hAnsi="Arial" w:cs="Arial"/>
          <w:bCs/>
          <w:sz w:val="22"/>
          <w:szCs w:val="22"/>
        </w:rPr>
        <w:t>; y también</w:t>
      </w:r>
      <w:r w:rsidR="008375DF">
        <w:rPr>
          <w:rFonts w:ascii="Arial" w:eastAsia="Arial" w:hAnsi="Arial" w:cs="Arial"/>
          <w:bCs/>
          <w:sz w:val="22"/>
          <w:szCs w:val="22"/>
        </w:rPr>
        <w:t xml:space="preserve"> están</w:t>
      </w:r>
      <w:r w:rsidR="00F86DDB">
        <w:rPr>
          <w:rFonts w:ascii="Arial" w:eastAsia="Arial" w:hAnsi="Arial" w:cs="Arial"/>
          <w:bCs/>
          <w:sz w:val="22"/>
          <w:szCs w:val="22"/>
        </w:rPr>
        <w:t xml:space="preserve"> implementado medidas de </w:t>
      </w:r>
      <w:r w:rsidRPr="007A598F">
        <w:rPr>
          <w:rFonts w:ascii="Arial" w:eastAsia="Arial" w:hAnsi="Arial" w:cs="Arial"/>
          <w:b/>
          <w:sz w:val="22"/>
          <w:szCs w:val="22"/>
        </w:rPr>
        <w:t>flexibilidad sobre los horarios</w:t>
      </w:r>
      <w:r w:rsidR="00B607A6">
        <w:rPr>
          <w:rFonts w:ascii="Arial" w:eastAsia="Arial" w:hAnsi="Arial" w:cs="Arial"/>
          <w:b/>
          <w:sz w:val="22"/>
          <w:szCs w:val="22"/>
        </w:rPr>
        <w:t xml:space="preserve">, </w:t>
      </w:r>
      <w:r w:rsidR="00B607A6" w:rsidRPr="009055D7">
        <w:rPr>
          <w:rFonts w:ascii="Arial" w:eastAsia="Arial" w:hAnsi="Arial" w:cs="Arial"/>
          <w:bCs/>
          <w:sz w:val="22"/>
          <w:szCs w:val="22"/>
        </w:rPr>
        <w:t>permitiendo</w:t>
      </w:r>
      <w:r w:rsidR="009055D7" w:rsidRPr="009055D7">
        <w:rPr>
          <w:rFonts w:ascii="Arial" w:eastAsia="Arial" w:hAnsi="Arial" w:cs="Arial"/>
          <w:bCs/>
          <w:sz w:val="22"/>
          <w:szCs w:val="22"/>
        </w:rPr>
        <w:t xml:space="preserve"> una mayor conciliación y adaptación a las necesidades de los empleados</w:t>
      </w:r>
      <w:r w:rsidR="00F86DDB">
        <w:rPr>
          <w:rFonts w:ascii="Arial" w:eastAsia="Arial" w:hAnsi="Arial" w:cs="Arial"/>
          <w:bCs/>
          <w:sz w:val="22"/>
          <w:szCs w:val="22"/>
        </w:rPr>
        <w:t xml:space="preserve">. El 17% de las compañías apuesta por el </w:t>
      </w:r>
      <w:r w:rsidR="00F86DDB" w:rsidRPr="00F86DDB">
        <w:rPr>
          <w:rFonts w:ascii="Arial" w:eastAsia="Arial" w:hAnsi="Arial" w:cs="Arial"/>
          <w:b/>
          <w:sz w:val="22"/>
          <w:szCs w:val="22"/>
        </w:rPr>
        <w:t>trabajo temporal</w:t>
      </w:r>
      <w:r w:rsidR="00F86DDB">
        <w:rPr>
          <w:rFonts w:ascii="Arial" w:eastAsia="Arial" w:hAnsi="Arial" w:cs="Arial"/>
          <w:bCs/>
          <w:sz w:val="22"/>
          <w:szCs w:val="22"/>
        </w:rPr>
        <w:t xml:space="preserve"> como forma de incorporar talento de manera ágil y flexible en función de las necesidades. </w:t>
      </w:r>
    </w:p>
    <w:p w14:paraId="11994401" w14:textId="7DD16FA7" w:rsidR="009055D7" w:rsidRDefault="00F86DDB" w:rsidP="000167D3">
      <w:pPr>
        <w:spacing w:before="120" w:line="288" w:lineRule="auto"/>
        <w:jc w:val="both"/>
        <w:rPr>
          <w:rFonts w:ascii="Arial" w:eastAsia="Arial" w:hAnsi="Arial" w:cs="Arial"/>
          <w:bCs/>
          <w:sz w:val="22"/>
          <w:szCs w:val="22"/>
        </w:rPr>
      </w:pPr>
      <w:r w:rsidRPr="00F86DDB">
        <w:rPr>
          <w:rFonts w:ascii="Arial" w:eastAsia="Arial" w:hAnsi="Arial" w:cs="Arial"/>
          <w:b/>
          <w:sz w:val="22"/>
          <w:szCs w:val="22"/>
        </w:rPr>
        <w:t>Explotar nuevos nichos de talento</w:t>
      </w:r>
      <w:r>
        <w:rPr>
          <w:rFonts w:ascii="Arial" w:eastAsia="Arial" w:hAnsi="Arial" w:cs="Arial"/>
          <w:bCs/>
          <w:sz w:val="22"/>
          <w:szCs w:val="22"/>
        </w:rPr>
        <w:t xml:space="preserve"> (15%), recurriendo a perfiles no tradicionales; o poniendo en práctica </w:t>
      </w:r>
      <w:r w:rsidRPr="00F86DDB">
        <w:rPr>
          <w:rFonts w:ascii="Arial" w:eastAsia="Arial" w:hAnsi="Arial" w:cs="Arial"/>
          <w:b/>
          <w:sz w:val="22"/>
          <w:szCs w:val="22"/>
        </w:rPr>
        <w:t>medidas de flexibilidad sobre la ubicación</w:t>
      </w:r>
      <w:r>
        <w:rPr>
          <w:rFonts w:ascii="Arial" w:eastAsia="Arial" w:hAnsi="Arial" w:cs="Arial"/>
          <w:bCs/>
          <w:sz w:val="22"/>
          <w:szCs w:val="22"/>
        </w:rPr>
        <w:t xml:space="preserve"> (15%), facilitando el teletrabajo o modelos híbridos para atraer y retener profesionales cualificados, son otras de las estrategias adoptadas.</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086499BD">
            <wp:extent cx="4769437" cy="25229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rcRect t="520" b="520"/>
                    <a:stretch>
                      <a:fillRect/>
                    </a:stretch>
                  </pic:blipFill>
                  <pic:spPr bwMode="auto">
                    <a:xfrm>
                      <a:off x="0" y="0"/>
                      <a:ext cx="4769437" cy="2522920"/>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1725C744"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9A2660">
        <w:rPr>
          <w:rFonts w:ascii="Arial" w:eastAsia="Arial" w:hAnsi="Arial" w:cs="Arial"/>
          <w:bCs/>
          <w:i/>
          <w:iCs/>
          <w:sz w:val="18"/>
          <w:szCs w:val="18"/>
        </w:rPr>
        <w:t xml:space="preserve">de </w:t>
      </w:r>
      <w:r w:rsidR="002D7DFB">
        <w:rPr>
          <w:rFonts w:ascii="Arial" w:eastAsia="Arial" w:hAnsi="Arial" w:cs="Arial"/>
          <w:bCs/>
          <w:i/>
          <w:iCs/>
          <w:sz w:val="18"/>
          <w:szCs w:val="18"/>
        </w:rPr>
        <w:t>Bienes y servicios de consumo</w:t>
      </w:r>
      <w:r w:rsidR="009A2660" w:rsidRPr="009A2660">
        <w:rPr>
          <w:rFonts w:ascii="Arial" w:eastAsia="Arial" w:hAnsi="Arial" w:cs="Arial"/>
          <w:bCs/>
          <w:i/>
          <w:iCs/>
          <w:sz w:val="18"/>
          <w:szCs w:val="18"/>
        </w:rPr>
        <w:t xml:space="preserve"> </w:t>
      </w:r>
      <w:r w:rsidR="009A2660" w:rsidRPr="0027602A">
        <w:rPr>
          <w:rFonts w:ascii="Arial" w:eastAsia="Arial" w:hAnsi="Arial" w:cs="Arial"/>
          <w:bCs/>
          <w:i/>
          <w:iCs/>
          <w:sz w:val="18"/>
          <w:szCs w:val="18"/>
        </w:rPr>
        <w:t>para afrontar el desajuste de talento</w:t>
      </w:r>
    </w:p>
    <w:p w14:paraId="3CE9F6EB" w14:textId="77777777" w:rsidR="008F16C4" w:rsidRPr="0006407D" w:rsidRDefault="008F16C4" w:rsidP="0006407D">
      <w:pPr>
        <w:jc w:val="both"/>
        <w:rPr>
          <w:rFonts w:ascii="Arial" w:hAnsi="Arial" w:cs="Arial"/>
          <w:bCs/>
          <w:sz w:val="16"/>
          <w:szCs w:val="16"/>
        </w:rPr>
      </w:pPr>
      <w:bookmarkStart w:id="7" w:name="_Hlk90222956"/>
      <w:bookmarkStart w:id="8" w:name="_Hlk90207554"/>
      <w:bookmarkEnd w:id="2"/>
      <w:bookmarkEnd w:id="3"/>
      <w:bookmarkEnd w:id="4"/>
      <w:bookmarkEnd w:id="5"/>
      <w:bookmarkEnd w:id="6"/>
    </w:p>
    <w:p w14:paraId="67FD06EC" w14:textId="77777777" w:rsidR="0006407D" w:rsidRDefault="0006407D" w:rsidP="0006407D">
      <w:pPr>
        <w:jc w:val="both"/>
        <w:rPr>
          <w:rFonts w:ascii="Arial" w:hAnsi="Arial" w:cs="Arial"/>
          <w:bCs/>
          <w:sz w:val="16"/>
          <w:szCs w:val="16"/>
        </w:rPr>
      </w:pPr>
    </w:p>
    <w:p w14:paraId="46F6CFDC" w14:textId="77777777" w:rsidR="00816D75" w:rsidRPr="0006407D" w:rsidRDefault="00816D75"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9" w:name="_Hlk192857665"/>
      <w:bookmarkEnd w:id="7"/>
      <w:bookmarkEnd w:id="8"/>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6843C19" w14:textId="77777777" w:rsidR="00816D75" w:rsidRDefault="00816D75" w:rsidP="00FF0099">
      <w:pPr>
        <w:jc w:val="both"/>
        <w:rPr>
          <w:rFonts w:ascii="Arial" w:eastAsia="Arial" w:hAnsi="Arial" w:cs="Arial"/>
          <w:sz w:val="16"/>
          <w:szCs w:val="16"/>
        </w:rPr>
      </w:pPr>
    </w:p>
    <w:p w14:paraId="6930EFC6" w14:textId="231F6BD3"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10"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rsidP="00C94240">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rsidP="00C94240">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rsidP="00C94240">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9"/>
      <w:bookmarkEnd w:id="10"/>
    </w:tbl>
    <w:p w14:paraId="0F55B214" w14:textId="77777777" w:rsidR="008E54AD" w:rsidRPr="0006407D" w:rsidRDefault="008E54AD" w:rsidP="0094198F">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D4F8" w14:textId="77777777" w:rsidR="004B1F0D" w:rsidRDefault="004B1F0D">
      <w:r>
        <w:separator/>
      </w:r>
    </w:p>
  </w:endnote>
  <w:endnote w:type="continuationSeparator" w:id="0">
    <w:p w14:paraId="7875F065" w14:textId="77777777" w:rsidR="004B1F0D" w:rsidRDefault="004B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573094DA" w:rsidR="003B09CB" w:rsidRPr="00804757" w:rsidRDefault="00804757" w:rsidP="00804757">
    <w:pPr>
      <w:pStyle w:val="Piedepgina"/>
      <w:jc w:val="center"/>
    </w:pPr>
    <w:r>
      <w:rPr>
        <w:noProof/>
      </w:rPr>
      <w:drawing>
        <wp:inline distT="0" distB="0" distL="0" distR="0" wp14:anchorId="7DCB5505" wp14:editId="7C899B3F">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3038" w14:textId="77777777" w:rsidR="004B1F0D" w:rsidRDefault="004B1F0D">
      <w:r>
        <w:separator/>
      </w:r>
    </w:p>
  </w:footnote>
  <w:footnote w:type="continuationSeparator" w:id="0">
    <w:p w14:paraId="18E12EDA" w14:textId="77777777" w:rsidR="004B1F0D" w:rsidRDefault="004B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42CDD"/>
    <w:rsid w:val="00057E37"/>
    <w:rsid w:val="00063579"/>
    <w:rsid w:val="0006407D"/>
    <w:rsid w:val="00066C14"/>
    <w:rsid w:val="00077522"/>
    <w:rsid w:val="000869A2"/>
    <w:rsid w:val="000906C2"/>
    <w:rsid w:val="00095B8E"/>
    <w:rsid w:val="000A1973"/>
    <w:rsid w:val="000A5062"/>
    <w:rsid w:val="000C4548"/>
    <w:rsid w:val="000D2B5A"/>
    <w:rsid w:val="000D6BCE"/>
    <w:rsid w:val="000E0F37"/>
    <w:rsid w:val="000E71B3"/>
    <w:rsid w:val="000F1600"/>
    <w:rsid w:val="000F1979"/>
    <w:rsid w:val="00104E1B"/>
    <w:rsid w:val="0011037D"/>
    <w:rsid w:val="0012170F"/>
    <w:rsid w:val="00122E68"/>
    <w:rsid w:val="00123015"/>
    <w:rsid w:val="00124DEA"/>
    <w:rsid w:val="0012624A"/>
    <w:rsid w:val="001324E2"/>
    <w:rsid w:val="00132B7B"/>
    <w:rsid w:val="00135DE0"/>
    <w:rsid w:val="00137C4E"/>
    <w:rsid w:val="00142E26"/>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E4759"/>
    <w:rsid w:val="00201989"/>
    <w:rsid w:val="002059D2"/>
    <w:rsid w:val="002103D3"/>
    <w:rsid w:val="00212129"/>
    <w:rsid w:val="00215298"/>
    <w:rsid w:val="002174CD"/>
    <w:rsid w:val="002246BA"/>
    <w:rsid w:val="00226CF7"/>
    <w:rsid w:val="002331A8"/>
    <w:rsid w:val="0024317A"/>
    <w:rsid w:val="00275B27"/>
    <w:rsid w:val="00280B42"/>
    <w:rsid w:val="002870C7"/>
    <w:rsid w:val="00290E69"/>
    <w:rsid w:val="00294475"/>
    <w:rsid w:val="0029675D"/>
    <w:rsid w:val="002A1736"/>
    <w:rsid w:val="002A3D92"/>
    <w:rsid w:val="002B3F52"/>
    <w:rsid w:val="002B461A"/>
    <w:rsid w:val="002C02D9"/>
    <w:rsid w:val="002C4B86"/>
    <w:rsid w:val="002D032D"/>
    <w:rsid w:val="002D69D8"/>
    <w:rsid w:val="002D7DFB"/>
    <w:rsid w:val="002E289B"/>
    <w:rsid w:val="002F04D0"/>
    <w:rsid w:val="003019C9"/>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874ED"/>
    <w:rsid w:val="00392F83"/>
    <w:rsid w:val="00393767"/>
    <w:rsid w:val="003A214F"/>
    <w:rsid w:val="003A2B29"/>
    <w:rsid w:val="003B09CB"/>
    <w:rsid w:val="003B70CE"/>
    <w:rsid w:val="003C5FF2"/>
    <w:rsid w:val="003D0E85"/>
    <w:rsid w:val="003D4F9E"/>
    <w:rsid w:val="003E08D8"/>
    <w:rsid w:val="003E70B2"/>
    <w:rsid w:val="003F40DD"/>
    <w:rsid w:val="00401FD2"/>
    <w:rsid w:val="00405772"/>
    <w:rsid w:val="00407AD8"/>
    <w:rsid w:val="00411E78"/>
    <w:rsid w:val="004162DB"/>
    <w:rsid w:val="00437FA1"/>
    <w:rsid w:val="0044035B"/>
    <w:rsid w:val="00441AA5"/>
    <w:rsid w:val="00447D0E"/>
    <w:rsid w:val="004510D0"/>
    <w:rsid w:val="004612C2"/>
    <w:rsid w:val="00466751"/>
    <w:rsid w:val="00492F25"/>
    <w:rsid w:val="00494ED4"/>
    <w:rsid w:val="00497689"/>
    <w:rsid w:val="004A2E3A"/>
    <w:rsid w:val="004B1F0D"/>
    <w:rsid w:val="004B3324"/>
    <w:rsid w:val="004B596E"/>
    <w:rsid w:val="004C0F40"/>
    <w:rsid w:val="004C2618"/>
    <w:rsid w:val="004C2ECA"/>
    <w:rsid w:val="004C607E"/>
    <w:rsid w:val="004C7CAC"/>
    <w:rsid w:val="004D1FAF"/>
    <w:rsid w:val="004D7F17"/>
    <w:rsid w:val="004E23C4"/>
    <w:rsid w:val="004F46C1"/>
    <w:rsid w:val="004F52B5"/>
    <w:rsid w:val="004F67EC"/>
    <w:rsid w:val="00511BED"/>
    <w:rsid w:val="00512001"/>
    <w:rsid w:val="005129E6"/>
    <w:rsid w:val="00512ACD"/>
    <w:rsid w:val="00515D51"/>
    <w:rsid w:val="00516CC4"/>
    <w:rsid w:val="005201CA"/>
    <w:rsid w:val="00527688"/>
    <w:rsid w:val="00541A7B"/>
    <w:rsid w:val="00561B53"/>
    <w:rsid w:val="0057357A"/>
    <w:rsid w:val="00576DDF"/>
    <w:rsid w:val="00577B92"/>
    <w:rsid w:val="00583013"/>
    <w:rsid w:val="005838B1"/>
    <w:rsid w:val="00592E1A"/>
    <w:rsid w:val="005939CD"/>
    <w:rsid w:val="00596187"/>
    <w:rsid w:val="005A293C"/>
    <w:rsid w:val="005A44F4"/>
    <w:rsid w:val="005A7DB1"/>
    <w:rsid w:val="005A7E9C"/>
    <w:rsid w:val="005C1E72"/>
    <w:rsid w:val="005C33ED"/>
    <w:rsid w:val="005D1AE9"/>
    <w:rsid w:val="005D5DC2"/>
    <w:rsid w:val="005E4173"/>
    <w:rsid w:val="005F0582"/>
    <w:rsid w:val="005F1509"/>
    <w:rsid w:val="005F1CEB"/>
    <w:rsid w:val="00601B68"/>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0CE1"/>
    <w:rsid w:val="006B2084"/>
    <w:rsid w:val="006B6CC7"/>
    <w:rsid w:val="006C075B"/>
    <w:rsid w:val="006C2E48"/>
    <w:rsid w:val="006E5208"/>
    <w:rsid w:val="006F2159"/>
    <w:rsid w:val="007018AC"/>
    <w:rsid w:val="00715E9E"/>
    <w:rsid w:val="00720BA0"/>
    <w:rsid w:val="00720FDC"/>
    <w:rsid w:val="0072269E"/>
    <w:rsid w:val="00731F03"/>
    <w:rsid w:val="00737CAD"/>
    <w:rsid w:val="00741C49"/>
    <w:rsid w:val="00743A94"/>
    <w:rsid w:val="00743E30"/>
    <w:rsid w:val="007568F2"/>
    <w:rsid w:val="00795548"/>
    <w:rsid w:val="007A0082"/>
    <w:rsid w:val="007A598F"/>
    <w:rsid w:val="007A74B1"/>
    <w:rsid w:val="007B189E"/>
    <w:rsid w:val="007B59D1"/>
    <w:rsid w:val="007B679F"/>
    <w:rsid w:val="007B6BA0"/>
    <w:rsid w:val="007D0CFF"/>
    <w:rsid w:val="007E2DCC"/>
    <w:rsid w:val="007E700F"/>
    <w:rsid w:val="008002D6"/>
    <w:rsid w:val="00800860"/>
    <w:rsid w:val="00801C70"/>
    <w:rsid w:val="00804757"/>
    <w:rsid w:val="00807E56"/>
    <w:rsid w:val="00816D75"/>
    <w:rsid w:val="00822BF9"/>
    <w:rsid w:val="00825CE9"/>
    <w:rsid w:val="00836F8E"/>
    <w:rsid w:val="008375DF"/>
    <w:rsid w:val="008405EA"/>
    <w:rsid w:val="00841381"/>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55D7"/>
    <w:rsid w:val="00914020"/>
    <w:rsid w:val="00924550"/>
    <w:rsid w:val="00927308"/>
    <w:rsid w:val="00931026"/>
    <w:rsid w:val="00932CB7"/>
    <w:rsid w:val="00936982"/>
    <w:rsid w:val="00940D67"/>
    <w:rsid w:val="0094198F"/>
    <w:rsid w:val="009425B5"/>
    <w:rsid w:val="00942998"/>
    <w:rsid w:val="009436E0"/>
    <w:rsid w:val="00945101"/>
    <w:rsid w:val="009456E3"/>
    <w:rsid w:val="0096302C"/>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2660"/>
    <w:rsid w:val="009A3526"/>
    <w:rsid w:val="009A6F8A"/>
    <w:rsid w:val="009B2C9F"/>
    <w:rsid w:val="009C2675"/>
    <w:rsid w:val="009C6D75"/>
    <w:rsid w:val="009D2EF1"/>
    <w:rsid w:val="009D3CF7"/>
    <w:rsid w:val="009F01EA"/>
    <w:rsid w:val="009F301A"/>
    <w:rsid w:val="009F7DB9"/>
    <w:rsid w:val="009F7E1C"/>
    <w:rsid w:val="00A01277"/>
    <w:rsid w:val="00A02C34"/>
    <w:rsid w:val="00A27119"/>
    <w:rsid w:val="00A34265"/>
    <w:rsid w:val="00A346D1"/>
    <w:rsid w:val="00A34A0D"/>
    <w:rsid w:val="00A40FCF"/>
    <w:rsid w:val="00A41710"/>
    <w:rsid w:val="00A50B4D"/>
    <w:rsid w:val="00A52E71"/>
    <w:rsid w:val="00A56426"/>
    <w:rsid w:val="00A574BF"/>
    <w:rsid w:val="00A6666D"/>
    <w:rsid w:val="00A70677"/>
    <w:rsid w:val="00A7208B"/>
    <w:rsid w:val="00A75968"/>
    <w:rsid w:val="00A81170"/>
    <w:rsid w:val="00A84DE6"/>
    <w:rsid w:val="00AB24A2"/>
    <w:rsid w:val="00AB38CF"/>
    <w:rsid w:val="00AC1361"/>
    <w:rsid w:val="00AC1B92"/>
    <w:rsid w:val="00AE0726"/>
    <w:rsid w:val="00AE6018"/>
    <w:rsid w:val="00AF11D7"/>
    <w:rsid w:val="00AF2C8A"/>
    <w:rsid w:val="00AF735D"/>
    <w:rsid w:val="00B047D5"/>
    <w:rsid w:val="00B05CD9"/>
    <w:rsid w:val="00B05D48"/>
    <w:rsid w:val="00B116AF"/>
    <w:rsid w:val="00B179B5"/>
    <w:rsid w:val="00B22902"/>
    <w:rsid w:val="00B32DA9"/>
    <w:rsid w:val="00B5158D"/>
    <w:rsid w:val="00B607A6"/>
    <w:rsid w:val="00B60986"/>
    <w:rsid w:val="00B628EE"/>
    <w:rsid w:val="00B8069B"/>
    <w:rsid w:val="00B87F8E"/>
    <w:rsid w:val="00B963D0"/>
    <w:rsid w:val="00BB009D"/>
    <w:rsid w:val="00BB1160"/>
    <w:rsid w:val="00BB39D9"/>
    <w:rsid w:val="00BB66B8"/>
    <w:rsid w:val="00BC45B7"/>
    <w:rsid w:val="00BC46BE"/>
    <w:rsid w:val="00BD6BF9"/>
    <w:rsid w:val="00BE22AA"/>
    <w:rsid w:val="00BF2547"/>
    <w:rsid w:val="00BF2A9C"/>
    <w:rsid w:val="00BF5E11"/>
    <w:rsid w:val="00C02974"/>
    <w:rsid w:val="00C23938"/>
    <w:rsid w:val="00C262F5"/>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56A2F"/>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3BED"/>
    <w:rsid w:val="00E14B59"/>
    <w:rsid w:val="00E21991"/>
    <w:rsid w:val="00E239A7"/>
    <w:rsid w:val="00E269C3"/>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D0701"/>
    <w:rsid w:val="00ED4D55"/>
    <w:rsid w:val="00ED788C"/>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66D87"/>
    <w:rsid w:val="00F72967"/>
    <w:rsid w:val="00F73A73"/>
    <w:rsid w:val="00F74E6C"/>
    <w:rsid w:val="00F761C4"/>
    <w:rsid w:val="00F86DDB"/>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D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31</cp:revision>
  <cp:lastPrinted>2022-12-19T17:21:00Z</cp:lastPrinted>
  <dcterms:created xsi:type="dcterms:W3CDTF">2025-04-15T07:11:00Z</dcterms:created>
  <dcterms:modified xsi:type="dcterms:W3CDTF">2025-05-20T10:06:00Z</dcterms:modified>
</cp:coreProperties>
</file>