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4EFA" w14:textId="77777777" w:rsidR="002B635B" w:rsidRPr="002B635B" w:rsidRDefault="002B635B" w:rsidP="00AB4B44">
      <w:pPr>
        <w:rPr>
          <w:b/>
          <w:bCs/>
          <w:sz w:val="32"/>
          <w:szCs w:val="32"/>
        </w:rPr>
      </w:pPr>
      <w:r w:rsidRPr="002B635B">
        <w:rPr>
          <w:b/>
          <w:bCs/>
          <w:sz w:val="32"/>
          <w:szCs w:val="32"/>
        </w:rPr>
        <w:t>ManpowerGroup + Junior Achievement: compromiso compartido con la empleabilidad juvenil</w:t>
      </w:r>
    </w:p>
    <w:p w14:paraId="46463D19" w14:textId="77777777" w:rsidR="002B635B" w:rsidRPr="002B635B" w:rsidRDefault="002B635B" w:rsidP="00AB4B44">
      <w:pPr>
        <w:rPr>
          <w:b/>
          <w:bCs/>
          <w:sz w:val="32"/>
          <w:szCs w:val="32"/>
        </w:rPr>
      </w:pPr>
    </w:p>
    <w:p w14:paraId="7D30869C" w14:textId="031E8E50" w:rsidR="00AB4B44" w:rsidRPr="00AB4B44" w:rsidRDefault="00AB4B44" w:rsidP="00AB4B44">
      <w:r w:rsidRPr="00AB4B44">
        <w:t>Para 2030, se espera que la Generación Z y los Millennials representen dos tercios de la fuerza laboral global. En este contexto, acompañar a los jóvenes en su transición al mundo profesional es más urgente y relevante que nunca. En ManpowerGroup creemos firmemente en la importancia de que los jóvenes accedan al empleo poco tiempo después de finalizar su formación. Por eso, trabajamos activamente para ayudarl</w:t>
      </w:r>
      <w:r w:rsidR="002B635B">
        <w:t>e</w:t>
      </w:r>
      <w:r w:rsidRPr="00AB4B44">
        <w:t xml:space="preserve">s a desarrollar las competencias que </w:t>
      </w:r>
      <w:r w:rsidR="002B635B">
        <w:t>hoy demandan las organizaciones</w:t>
      </w:r>
      <w:r w:rsidRPr="00AB4B44">
        <w:t xml:space="preserve"> y ser su puerta de entrada al mundo laboral.</w:t>
      </w:r>
    </w:p>
    <w:p w14:paraId="49A9135F" w14:textId="1BFD2475" w:rsidR="00AB4B44" w:rsidRPr="00AB4B44" w:rsidRDefault="00AB4B44" w:rsidP="00AB4B44">
      <w:r w:rsidRPr="00AB4B44">
        <w:t xml:space="preserve">Muchos jóvenes consiguen su primer empleo mientras aún están estudiando gracias a nuestras soluciones. Esta experiencia temprana les brinda una ventaja </w:t>
      </w:r>
      <w:r w:rsidR="002B635B">
        <w:t>competitiva</w:t>
      </w:r>
      <w:r w:rsidRPr="00AB4B44">
        <w:t>: conocimiento práctico del entorno de trabajo, desarrollo de habilidades y la confianza necesaria para afrontar futuros retos profesionales.</w:t>
      </w:r>
    </w:p>
    <w:p w14:paraId="7658F15C" w14:textId="633292C0" w:rsidR="00AB4B44" w:rsidRPr="00AB4B44" w:rsidRDefault="00AB4B44" w:rsidP="00AB4B44">
      <w:r w:rsidRPr="00AB4B44">
        <w:t xml:space="preserve">La Generación Z, en particular, está redefiniendo las expectativas del talento joven. Según el informe </w:t>
      </w:r>
      <w:hyperlink r:id="rId4" w:history="1">
        <w:r w:rsidRPr="00AB4B44">
          <w:rPr>
            <w:rStyle w:val="Hipervnculo"/>
            <w:i/>
            <w:iCs/>
          </w:rPr>
          <w:t>Generación</w:t>
        </w:r>
        <w:r w:rsidRPr="00AB4B44">
          <w:rPr>
            <w:rStyle w:val="Hipervnculo"/>
            <w:i/>
            <w:iCs/>
          </w:rPr>
          <w:t xml:space="preserve"> Z</w:t>
        </w:r>
        <w:r w:rsidRPr="00AB4B44">
          <w:rPr>
            <w:rStyle w:val="Hipervnculo"/>
            <w:i/>
            <w:iCs/>
          </w:rPr>
          <w:t xml:space="preserve"> y empleo</w:t>
        </w:r>
      </w:hyperlink>
      <w:r w:rsidRPr="00AB4B44">
        <w:rPr>
          <w:i/>
          <w:iCs/>
        </w:rPr>
        <w:t xml:space="preserve"> </w:t>
      </w:r>
      <w:r w:rsidRPr="00AB4B44">
        <w:t>de ManpowerGroup, casi 9 de cada 10 integrantes de esta generación buscan empresas con propósito, valoran profundamente las políticas de bienestar integral y esperan que sus empleadores les ofrezcan programas de formación continua (upskilling y reskilling) para fomentar su crecimiento profesional. También exigen flexibilidad y nuevos modelos de trabajo que se adapten a su perfil digital, híbrido y altamente adaptable. Esta generación, familiarizada con la inteligencia artificial, la automatización y los entornos virtuales, se convierte en un agente natural de cambio dentro de las organizaciones.</w:t>
      </w:r>
    </w:p>
    <w:p w14:paraId="4D304C0F" w14:textId="77777777" w:rsidR="00AB4B44" w:rsidRPr="00AB4B44" w:rsidRDefault="00AB4B44" w:rsidP="00AB4B44">
      <w:r w:rsidRPr="00AB4B44">
        <w:t xml:space="preserve">Sin embargo, la inestabilidad con la que muchos jóvenes han accedido al mercado laboral puede generar lo que en recursos humanos se conoce como </w:t>
      </w:r>
      <w:r w:rsidRPr="00AB4B44">
        <w:rPr>
          <w:i/>
          <w:iCs/>
        </w:rPr>
        <w:t>scarring</w:t>
      </w:r>
      <w:r w:rsidRPr="00AB4B44">
        <w:t>: efectos negativos a largo plazo derivados de la falta de continuidad o experiencia en las primeras etapas de la carrera. Para contrarrestar este riesgo, es fundamental ofrecer oportunidades de formación práctica, mentoría y desarrollo temprano de habilidades blandas.</w:t>
      </w:r>
    </w:p>
    <w:p w14:paraId="50E2BC2E" w14:textId="29E8C211" w:rsidR="00AB4B44" w:rsidRPr="00AB4B44" w:rsidRDefault="00AB4B44" w:rsidP="00AB4B44">
      <w:r w:rsidRPr="00AB4B44">
        <w:t>En este contexto, la alianza entre ManpowerGroup y Junior Achievement (JA) adquiere un papel clave. JA es una de las organizaciones sin ánimo de lucro más influyentes del mundo en el ámbito de la educación juvenil, con más de un siglo de experiencia promoviendo el emprendimiento, la educación financiera y la preparación para el trabajo. Su labor ha tenido un impacto profundo, llegando a jóvenes en situación de vulnerabilidad —incluidos refugiados, personas afectadas por conflictos y comunidades en riesgo</w:t>
      </w:r>
      <w:r>
        <w:t xml:space="preserve"> de exclusión</w:t>
      </w:r>
      <w:r w:rsidRPr="00AB4B44">
        <w:t>— y ha sido reconocida internacionalmente con tres nominaciones consecutivas al Premio Nobel de la Paz.</w:t>
      </w:r>
    </w:p>
    <w:p w14:paraId="255A1DA9" w14:textId="07EF6D9E" w:rsidR="00AB4B44" w:rsidRPr="00AB4B44" w:rsidRDefault="00AB4B44" w:rsidP="00AB4B44">
      <w:r w:rsidRPr="00AB4B44">
        <w:t xml:space="preserve">Actualmente, </w:t>
      </w:r>
      <w:r>
        <w:t xml:space="preserve">la </w:t>
      </w:r>
      <w:r w:rsidRPr="00AB4B44">
        <w:t>colaboración</w:t>
      </w:r>
      <w:r>
        <w:t xml:space="preserve"> de ManpowerGroup</w:t>
      </w:r>
      <w:r w:rsidRPr="00AB4B44">
        <w:t xml:space="preserve"> con JA se centra en dos grandes ejes: la transición verde y la digitalización. A través de programas conjuntos, brindamos orientación profesional, </w:t>
      </w:r>
      <w:r>
        <w:t>asesoramiento</w:t>
      </w:r>
      <w:r w:rsidRPr="00AB4B44">
        <w:t xml:space="preserve"> para entrevistas</w:t>
      </w:r>
      <w:r>
        <w:t xml:space="preserve"> de trabajo</w:t>
      </w:r>
      <w:r w:rsidRPr="00AB4B44">
        <w:t>, hackatones, talleres de alfabetización digital y mentorías en entornos laborales, permitiendo que los jóvenes adquieran las competencias necesarias para acceder a oportunidades laborales reales y sostenibles.</w:t>
      </w:r>
    </w:p>
    <w:p w14:paraId="0D3093EB" w14:textId="77777777" w:rsidR="00AB4B44" w:rsidRPr="00AB4B44" w:rsidRDefault="00AB4B44" w:rsidP="00AB4B44">
      <w:r w:rsidRPr="00AB4B44">
        <w:lastRenderedPageBreak/>
        <w:t xml:space="preserve">Cada año, cientos de profesionales de ManpowerGroup en Europa, América del Norte y LATAM dedican miles de horas de voluntariado para apoyar a más de 100.000 estudiantes en el desarrollo de habilidades clave para la empleabilidad, como sostenibilidad, innovación y preparación digital. Este compromiso también se refleja en iniciativas como el Festival Europeo GEN-E, donde jóvenes emprendedores compiten por el </w:t>
      </w:r>
      <w:r w:rsidRPr="00AB4B44">
        <w:rPr>
          <w:i/>
          <w:iCs/>
        </w:rPr>
        <w:t>Ready for Work Award</w:t>
      </w:r>
      <w:r w:rsidRPr="00AB4B44">
        <w:t xml:space="preserve"> de ManpowerGroup. El equipo ganador recibe mentoría intensiva que les permite explorar sus motivaciones, fortalecer su mentalidad emprendedora y desarrollar las capacidades necesarias para convertir sus ideas en soluciones reales.</w:t>
      </w:r>
    </w:p>
    <w:p w14:paraId="1BA768B4" w14:textId="500A68B5" w:rsidR="00AB4B44" w:rsidRPr="00AB4B44" w:rsidRDefault="00AB4B44" w:rsidP="00AB4B44">
      <w:r w:rsidRPr="00AB4B44">
        <w:t xml:space="preserve">En 2024, Junior Achievement Europe lanzó </w:t>
      </w:r>
      <w:hyperlink r:id="rId5" w:history="1">
        <w:r w:rsidRPr="00AB4B44">
          <w:rPr>
            <w:rStyle w:val="Hipervnculo"/>
          </w:rPr>
          <w:t>EMPASS</w:t>
        </w:r>
        <w:r w:rsidR="002B635B" w:rsidRPr="002B635B">
          <w:rPr>
            <w:rStyle w:val="Hipervnculo"/>
          </w:rPr>
          <w:t xml:space="preserve"> (</w:t>
        </w:r>
        <w:r w:rsidR="002B635B" w:rsidRPr="002B635B">
          <w:rPr>
            <w:rStyle w:val="Hipervnculo"/>
          </w:rPr>
          <w:t>The Employment Skills Pass</w:t>
        </w:r>
        <w:r w:rsidR="002B635B" w:rsidRPr="002B635B">
          <w:rPr>
            <w:rStyle w:val="Hipervnculo"/>
          </w:rPr>
          <w:t>)</w:t>
        </w:r>
      </w:hyperlink>
      <w:r w:rsidRPr="00AB4B44">
        <w:t>, un ambicioso programa financiado por la Unión Europea a través de Erasmus+. Su objetivo es certificar competencias esenciales para la empleabilidad mediante microcredenciales. Esta iniciativa representa un paso decisivo hacia la validación práctica de habilidades</w:t>
      </w:r>
      <w:r w:rsidR="00C25391">
        <w:t xml:space="preserve"> en perfiles de estudiantes de Formación Profesional</w:t>
      </w:r>
      <w:r w:rsidRPr="00AB4B44">
        <w:t xml:space="preserve"> y el cierre de la brecha entre educación y empleo.</w:t>
      </w:r>
    </w:p>
    <w:p w14:paraId="00687C10" w14:textId="77777777" w:rsidR="00AB4B44" w:rsidRPr="00AB4B44" w:rsidRDefault="00AB4B44" w:rsidP="00AB4B44">
      <w:r w:rsidRPr="00AB4B44">
        <w:t>En ManpowerGroup, reafirmamos nuestro compromiso con el talento joven y con el impulso de iniciativas que promuevan una transición justa e inclusiva hacia el mundo laboral. A través de alianzas estratégicas como la que mantenemos con Junior Achievement, seguimos construyendo un futuro del trabajo más accesible, equitativo y alineado con los valores y expectativas de las nuevas generaciones.</w:t>
      </w:r>
    </w:p>
    <w:p w14:paraId="00B1FD42" w14:textId="77777777" w:rsidR="00DA1C61" w:rsidRDefault="00DA1C61"/>
    <w:sectPr w:rsidR="00DA1C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44"/>
    <w:rsid w:val="000124E5"/>
    <w:rsid w:val="00207F69"/>
    <w:rsid w:val="002B635B"/>
    <w:rsid w:val="005370D5"/>
    <w:rsid w:val="00AB4B44"/>
    <w:rsid w:val="00AC3D48"/>
    <w:rsid w:val="00C25391"/>
    <w:rsid w:val="00DA1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6C57"/>
  <w15:chartTrackingRefBased/>
  <w15:docId w15:val="{B762E6C0-F79B-4BF2-8DEC-966B26D4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4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4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4B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4B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4B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4B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4B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4B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4B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4B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4B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4B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4B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4B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4B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4B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4B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4B44"/>
    <w:rPr>
      <w:rFonts w:eastAsiaTheme="majorEastAsia" w:cstheme="majorBidi"/>
      <w:color w:val="272727" w:themeColor="text1" w:themeTint="D8"/>
    </w:rPr>
  </w:style>
  <w:style w:type="paragraph" w:styleId="Ttulo">
    <w:name w:val="Title"/>
    <w:basedOn w:val="Normal"/>
    <w:next w:val="Normal"/>
    <w:link w:val="TtuloCar"/>
    <w:uiPriority w:val="10"/>
    <w:qFormat/>
    <w:rsid w:val="00AB4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4B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4B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4B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4B44"/>
    <w:pPr>
      <w:spacing w:before="160"/>
      <w:jc w:val="center"/>
    </w:pPr>
    <w:rPr>
      <w:i/>
      <w:iCs/>
      <w:color w:val="404040" w:themeColor="text1" w:themeTint="BF"/>
    </w:rPr>
  </w:style>
  <w:style w:type="character" w:customStyle="1" w:styleId="CitaCar">
    <w:name w:val="Cita Car"/>
    <w:basedOn w:val="Fuentedeprrafopredeter"/>
    <w:link w:val="Cita"/>
    <w:uiPriority w:val="29"/>
    <w:rsid w:val="00AB4B44"/>
    <w:rPr>
      <w:i/>
      <w:iCs/>
      <w:color w:val="404040" w:themeColor="text1" w:themeTint="BF"/>
    </w:rPr>
  </w:style>
  <w:style w:type="paragraph" w:styleId="Prrafodelista">
    <w:name w:val="List Paragraph"/>
    <w:basedOn w:val="Normal"/>
    <w:uiPriority w:val="34"/>
    <w:qFormat/>
    <w:rsid w:val="00AB4B44"/>
    <w:pPr>
      <w:ind w:left="720"/>
      <w:contextualSpacing/>
    </w:pPr>
  </w:style>
  <w:style w:type="character" w:styleId="nfasisintenso">
    <w:name w:val="Intense Emphasis"/>
    <w:basedOn w:val="Fuentedeprrafopredeter"/>
    <w:uiPriority w:val="21"/>
    <w:qFormat/>
    <w:rsid w:val="00AB4B44"/>
    <w:rPr>
      <w:i/>
      <w:iCs/>
      <w:color w:val="0F4761" w:themeColor="accent1" w:themeShade="BF"/>
    </w:rPr>
  </w:style>
  <w:style w:type="paragraph" w:styleId="Citadestacada">
    <w:name w:val="Intense Quote"/>
    <w:basedOn w:val="Normal"/>
    <w:next w:val="Normal"/>
    <w:link w:val="CitadestacadaCar"/>
    <w:uiPriority w:val="30"/>
    <w:qFormat/>
    <w:rsid w:val="00AB4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4B44"/>
    <w:rPr>
      <w:i/>
      <w:iCs/>
      <w:color w:val="0F4761" w:themeColor="accent1" w:themeShade="BF"/>
    </w:rPr>
  </w:style>
  <w:style w:type="character" w:styleId="Referenciaintensa">
    <w:name w:val="Intense Reference"/>
    <w:basedOn w:val="Fuentedeprrafopredeter"/>
    <w:uiPriority w:val="32"/>
    <w:qFormat/>
    <w:rsid w:val="00AB4B44"/>
    <w:rPr>
      <w:b/>
      <w:bCs/>
      <w:smallCaps/>
      <w:color w:val="0F4761" w:themeColor="accent1" w:themeShade="BF"/>
      <w:spacing w:val="5"/>
    </w:rPr>
  </w:style>
  <w:style w:type="character" w:styleId="Hipervnculo">
    <w:name w:val="Hyperlink"/>
    <w:basedOn w:val="Fuentedeprrafopredeter"/>
    <w:uiPriority w:val="99"/>
    <w:unhideWhenUsed/>
    <w:rsid w:val="00AB4B44"/>
    <w:rPr>
      <w:color w:val="467886" w:themeColor="hyperlink"/>
      <w:u w:val="single"/>
    </w:rPr>
  </w:style>
  <w:style w:type="character" w:styleId="Mencinsinresolver">
    <w:name w:val="Unresolved Mention"/>
    <w:basedOn w:val="Fuentedeprrafopredeter"/>
    <w:uiPriority w:val="99"/>
    <w:semiHidden/>
    <w:unhideWhenUsed/>
    <w:rsid w:val="00AB4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5868">
      <w:bodyDiv w:val="1"/>
      <w:marLeft w:val="0"/>
      <w:marRight w:val="0"/>
      <w:marTop w:val="0"/>
      <w:marBottom w:val="0"/>
      <w:divBdr>
        <w:top w:val="none" w:sz="0" w:space="0" w:color="auto"/>
        <w:left w:val="none" w:sz="0" w:space="0" w:color="auto"/>
        <w:bottom w:val="none" w:sz="0" w:space="0" w:color="auto"/>
        <w:right w:val="none" w:sz="0" w:space="0" w:color="auto"/>
      </w:divBdr>
    </w:div>
    <w:div w:id="21314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npowergroup.es/notas-de-prensa/empass-las-microcredenciales-como-solucion-al-gap-de-talento" TargetMode="External"/><Relationship Id="rId4" Type="http://schemas.openxmlformats.org/officeDocument/2006/relationships/hyperlink" Target="https://www.manpowergroup.es/estudios/generacion-z-y-empleo-preparados-para-liderar-el-camb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749</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dc:creator>
  <cp:keywords/>
  <dc:description/>
  <cp:lastModifiedBy>Gala Díaz Curiel</cp:lastModifiedBy>
  <cp:revision>2</cp:revision>
  <dcterms:created xsi:type="dcterms:W3CDTF">2025-05-20T07:50:00Z</dcterms:created>
  <dcterms:modified xsi:type="dcterms:W3CDTF">2025-05-20T08:07:00Z</dcterms:modified>
</cp:coreProperties>
</file>