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76B0" w14:textId="77777777" w:rsidR="00EC589F" w:rsidRPr="00687087" w:rsidRDefault="00EC589F" w:rsidP="00EC589F">
      <w:pPr>
        <w:pBdr>
          <w:top w:val="nil"/>
          <w:left w:val="nil"/>
          <w:bottom w:val="nil"/>
          <w:right w:val="nil"/>
          <w:between w:val="nil"/>
        </w:pBdr>
        <w:spacing w:before="120" w:line="288" w:lineRule="auto"/>
        <w:ind w:left="708" w:hanging="708"/>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w:t>
      </w:r>
      <w:r>
        <w:rPr>
          <w:rFonts w:ascii="Arial" w:eastAsia="Arial" w:hAnsi="Arial" w:cs="Arial"/>
          <w:b/>
          <w:color w:val="000000"/>
          <w:sz w:val="20"/>
          <w:szCs w:val="20"/>
          <w:u w:val="single"/>
        </w:rPr>
        <w:t xml:space="preserve">‘Desajuste de talento </w:t>
      </w:r>
      <w:r w:rsidRPr="00687087">
        <w:rPr>
          <w:rFonts w:ascii="Arial" w:eastAsia="Arial" w:hAnsi="Arial" w:cs="Arial"/>
          <w:b/>
          <w:color w:val="000000"/>
          <w:sz w:val="20"/>
          <w:szCs w:val="20"/>
          <w:u w:val="single"/>
        </w:rPr>
        <w:t>202</w:t>
      </w:r>
      <w:r>
        <w:rPr>
          <w:rFonts w:ascii="Arial" w:eastAsia="Arial" w:hAnsi="Arial" w:cs="Arial"/>
          <w:b/>
          <w:color w:val="000000"/>
          <w:sz w:val="20"/>
          <w:szCs w:val="20"/>
          <w:u w:val="single"/>
        </w:rPr>
        <w:t xml:space="preserve">4’ de </w:t>
      </w:r>
      <w:r w:rsidRPr="00687087">
        <w:rPr>
          <w:rFonts w:ascii="Arial" w:eastAsia="Arial" w:hAnsi="Arial" w:cs="Arial"/>
          <w:b/>
          <w:color w:val="000000"/>
          <w:sz w:val="20"/>
          <w:szCs w:val="20"/>
          <w:u w:val="single"/>
        </w:rPr>
        <w:t>ManpowerGroup</w:t>
      </w:r>
    </w:p>
    <w:p w14:paraId="16AAD25D" w14:textId="221F3DE5" w:rsidR="001A2A76" w:rsidRPr="00687087" w:rsidRDefault="001A2A76" w:rsidP="00EC589F">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598F4C51" w14:textId="3857DDCE" w:rsidR="00C73CB1" w:rsidRPr="00687087" w:rsidRDefault="0062543B" w:rsidP="00EC589F">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8 de cada 10 </w:t>
      </w:r>
      <w:r w:rsidR="0011037D">
        <w:rPr>
          <w:rFonts w:ascii="Arial" w:eastAsia="Arial" w:hAnsi="Arial" w:cs="Arial"/>
          <w:b/>
          <w:bCs/>
          <w:sz w:val="36"/>
          <w:szCs w:val="36"/>
        </w:rPr>
        <w:t>empresas</w:t>
      </w:r>
      <w:r w:rsidR="00C07E47">
        <w:rPr>
          <w:rFonts w:ascii="Arial" w:eastAsia="Arial" w:hAnsi="Arial" w:cs="Arial"/>
          <w:b/>
          <w:bCs/>
          <w:sz w:val="36"/>
          <w:szCs w:val="36"/>
        </w:rPr>
        <w:t xml:space="preserve"> </w:t>
      </w:r>
      <w:r w:rsidR="00196036">
        <w:rPr>
          <w:rFonts w:ascii="Arial" w:eastAsia="Arial" w:hAnsi="Arial" w:cs="Arial"/>
          <w:b/>
          <w:bCs/>
          <w:sz w:val="36"/>
          <w:szCs w:val="36"/>
        </w:rPr>
        <w:t>de</w:t>
      </w:r>
      <w:r w:rsidR="00D91D62">
        <w:rPr>
          <w:rFonts w:ascii="Arial" w:eastAsia="Arial" w:hAnsi="Arial" w:cs="Arial"/>
          <w:b/>
          <w:bCs/>
          <w:sz w:val="36"/>
          <w:szCs w:val="36"/>
        </w:rPr>
        <w:t xml:space="preserve"> </w:t>
      </w:r>
      <w:r w:rsidR="00ED0522">
        <w:rPr>
          <w:rFonts w:ascii="Arial" w:eastAsia="Arial" w:hAnsi="Arial" w:cs="Arial"/>
          <w:b/>
          <w:bCs/>
          <w:sz w:val="36"/>
          <w:szCs w:val="36"/>
        </w:rPr>
        <w:t xml:space="preserve">Bienes </w:t>
      </w:r>
      <w:r w:rsidR="00ED0522" w:rsidRPr="00ED0522">
        <w:rPr>
          <w:rFonts w:ascii="Arial" w:eastAsia="Arial" w:hAnsi="Arial" w:cs="Arial"/>
          <w:b/>
          <w:bCs/>
          <w:sz w:val="36"/>
          <w:szCs w:val="36"/>
        </w:rPr>
        <w:t>y servicios de</w:t>
      </w:r>
      <w:r w:rsidR="00ED0522">
        <w:rPr>
          <w:rFonts w:ascii="Arial" w:eastAsia="Arial" w:hAnsi="Arial" w:cs="Arial"/>
          <w:b/>
          <w:bCs/>
          <w:sz w:val="36"/>
          <w:szCs w:val="36"/>
        </w:rPr>
        <w:t xml:space="preserve"> consumo</w:t>
      </w:r>
      <w:r>
        <w:rPr>
          <w:rFonts w:ascii="Arial" w:eastAsia="Arial" w:hAnsi="Arial" w:cs="Arial"/>
          <w:b/>
          <w:bCs/>
          <w:sz w:val="36"/>
          <w:szCs w:val="36"/>
        </w:rPr>
        <w:t xml:space="preserve"> tienen </w:t>
      </w:r>
      <w:r w:rsidR="00ED0522">
        <w:rPr>
          <w:rFonts w:ascii="Arial" w:eastAsia="Arial" w:hAnsi="Arial" w:cs="Arial"/>
          <w:b/>
          <w:bCs/>
          <w:sz w:val="36"/>
          <w:szCs w:val="36"/>
        </w:rPr>
        <w:t>dificultades</w:t>
      </w:r>
      <w:r w:rsidR="00C84A6D">
        <w:rPr>
          <w:rFonts w:ascii="Arial" w:eastAsia="Arial" w:hAnsi="Arial" w:cs="Arial"/>
          <w:b/>
          <w:bCs/>
          <w:sz w:val="36"/>
          <w:szCs w:val="36"/>
        </w:rPr>
        <w:t xml:space="preserve"> </w:t>
      </w:r>
      <w:r w:rsidR="00511BED">
        <w:rPr>
          <w:rFonts w:ascii="Arial" w:eastAsia="Arial" w:hAnsi="Arial" w:cs="Arial"/>
          <w:b/>
          <w:bCs/>
          <w:sz w:val="36"/>
          <w:szCs w:val="36"/>
        </w:rPr>
        <w:t xml:space="preserve">para encontrar </w:t>
      </w:r>
      <w:r w:rsidR="008700A2">
        <w:rPr>
          <w:rFonts w:ascii="Arial" w:eastAsia="Arial" w:hAnsi="Arial" w:cs="Arial"/>
          <w:b/>
          <w:bCs/>
          <w:sz w:val="36"/>
          <w:szCs w:val="36"/>
        </w:rPr>
        <w:t xml:space="preserve">a los </w:t>
      </w:r>
      <w:r w:rsidR="00511BED">
        <w:rPr>
          <w:rFonts w:ascii="Arial" w:eastAsia="Arial" w:hAnsi="Arial" w:cs="Arial"/>
          <w:b/>
          <w:bCs/>
          <w:sz w:val="36"/>
          <w:szCs w:val="36"/>
        </w:rPr>
        <w:t>profesionales</w:t>
      </w:r>
      <w:r w:rsidR="008700A2">
        <w:rPr>
          <w:rFonts w:ascii="Arial" w:eastAsia="Arial" w:hAnsi="Arial" w:cs="Arial"/>
          <w:b/>
          <w:bCs/>
          <w:sz w:val="36"/>
          <w:szCs w:val="36"/>
        </w:rPr>
        <w:t xml:space="preserve"> que necesita</w:t>
      </w:r>
      <w:r w:rsidR="00C84A6D">
        <w:rPr>
          <w:rFonts w:ascii="Arial" w:eastAsia="Arial" w:hAnsi="Arial" w:cs="Arial"/>
          <w:b/>
          <w:bCs/>
          <w:sz w:val="36"/>
          <w:szCs w:val="36"/>
        </w:rPr>
        <w:t>n</w:t>
      </w:r>
    </w:p>
    <w:p w14:paraId="49FE1D11" w14:textId="1CD6828B" w:rsidR="004D696E" w:rsidRPr="00575C42" w:rsidRDefault="004D696E" w:rsidP="00EC589F">
      <w:pPr>
        <w:pStyle w:val="Prrafodelista"/>
        <w:numPr>
          <w:ilvl w:val="0"/>
          <w:numId w:val="1"/>
        </w:numPr>
        <w:spacing w:before="120" w:line="288" w:lineRule="auto"/>
        <w:ind w:left="360"/>
        <w:contextualSpacing w:val="0"/>
        <w:jc w:val="both"/>
        <w:rPr>
          <w:rFonts w:ascii="Arial" w:eastAsia="Arial" w:hAnsi="Arial" w:cs="Arial"/>
          <w:b/>
          <w:sz w:val="23"/>
          <w:szCs w:val="23"/>
        </w:rPr>
      </w:pPr>
      <w:bookmarkStart w:id="0" w:name="_Hlk113557077"/>
      <w:r w:rsidRPr="00575C42">
        <w:rPr>
          <w:rFonts w:ascii="Arial" w:eastAsia="Arial" w:hAnsi="Arial" w:cs="Arial"/>
          <w:b/>
          <w:sz w:val="23"/>
          <w:szCs w:val="23"/>
        </w:rPr>
        <w:t xml:space="preserve">El sector </w:t>
      </w:r>
      <w:r w:rsidR="00C84A6D">
        <w:rPr>
          <w:rFonts w:ascii="Arial" w:eastAsia="Arial" w:hAnsi="Arial" w:cs="Arial"/>
          <w:b/>
          <w:sz w:val="23"/>
          <w:szCs w:val="23"/>
        </w:rPr>
        <w:t>registra</w:t>
      </w:r>
      <w:r w:rsidR="00ED0522">
        <w:rPr>
          <w:rFonts w:ascii="Arial" w:eastAsia="Arial" w:hAnsi="Arial" w:cs="Arial"/>
          <w:b/>
          <w:sz w:val="23"/>
          <w:szCs w:val="23"/>
        </w:rPr>
        <w:t xml:space="preserve"> </w:t>
      </w:r>
      <w:r w:rsidR="0062543B">
        <w:rPr>
          <w:rFonts w:ascii="Arial" w:eastAsia="Arial" w:hAnsi="Arial" w:cs="Arial"/>
          <w:b/>
          <w:sz w:val="23"/>
          <w:szCs w:val="23"/>
        </w:rPr>
        <w:t xml:space="preserve">el mismo dato de desajuste de talento </w:t>
      </w:r>
      <w:r w:rsidR="00ED0522">
        <w:rPr>
          <w:rFonts w:ascii="Arial" w:eastAsia="Arial" w:hAnsi="Arial" w:cs="Arial"/>
          <w:b/>
          <w:sz w:val="23"/>
          <w:szCs w:val="23"/>
        </w:rPr>
        <w:t xml:space="preserve">que </w:t>
      </w:r>
      <w:r w:rsidR="0062543B">
        <w:rPr>
          <w:rFonts w:ascii="Arial" w:eastAsia="Arial" w:hAnsi="Arial" w:cs="Arial"/>
          <w:b/>
          <w:sz w:val="23"/>
          <w:szCs w:val="23"/>
        </w:rPr>
        <w:t xml:space="preserve">la industria Tecnológica, </w:t>
      </w:r>
      <w:r w:rsidR="001B3EB7">
        <w:rPr>
          <w:rFonts w:ascii="Arial" w:eastAsia="Arial" w:hAnsi="Arial" w:cs="Arial"/>
          <w:b/>
          <w:sz w:val="23"/>
          <w:szCs w:val="23"/>
        </w:rPr>
        <w:t xml:space="preserve">y </w:t>
      </w:r>
      <w:r w:rsidR="0062543B">
        <w:rPr>
          <w:rFonts w:ascii="Arial" w:eastAsia="Arial" w:hAnsi="Arial" w:cs="Arial"/>
          <w:b/>
          <w:sz w:val="23"/>
          <w:szCs w:val="23"/>
        </w:rPr>
        <w:t xml:space="preserve">ambas </w:t>
      </w:r>
      <w:r w:rsidR="001B3EB7">
        <w:rPr>
          <w:rFonts w:ascii="Arial" w:eastAsia="Arial" w:hAnsi="Arial" w:cs="Arial"/>
          <w:b/>
          <w:sz w:val="23"/>
          <w:szCs w:val="23"/>
        </w:rPr>
        <w:t xml:space="preserve">igualan a </w:t>
      </w:r>
      <w:r w:rsidR="00ED0522">
        <w:rPr>
          <w:rFonts w:ascii="Arial" w:eastAsia="Arial" w:hAnsi="Arial" w:cs="Arial"/>
          <w:b/>
          <w:sz w:val="23"/>
          <w:szCs w:val="23"/>
        </w:rPr>
        <w:t xml:space="preserve">la media general </w:t>
      </w:r>
      <w:r w:rsidR="0062543B">
        <w:rPr>
          <w:rFonts w:ascii="Arial" w:eastAsia="Arial" w:hAnsi="Arial" w:cs="Arial"/>
          <w:b/>
          <w:sz w:val="23"/>
          <w:szCs w:val="23"/>
        </w:rPr>
        <w:t>española (78</w:t>
      </w:r>
      <w:r w:rsidR="0062543B" w:rsidRPr="00575C42">
        <w:rPr>
          <w:rFonts w:ascii="Arial" w:eastAsia="Arial" w:hAnsi="Arial" w:cs="Arial"/>
          <w:b/>
          <w:sz w:val="23"/>
          <w:szCs w:val="23"/>
        </w:rPr>
        <w:t>%)</w:t>
      </w:r>
      <w:r w:rsidR="00ED0522">
        <w:rPr>
          <w:rFonts w:ascii="Arial" w:eastAsia="Arial" w:hAnsi="Arial" w:cs="Arial"/>
          <w:b/>
          <w:sz w:val="23"/>
          <w:szCs w:val="23"/>
        </w:rPr>
        <w:t>.</w:t>
      </w:r>
    </w:p>
    <w:p w14:paraId="4CA31786" w14:textId="4F345BB6" w:rsidR="002759C4" w:rsidRPr="006E0862" w:rsidRDefault="00ED0522" w:rsidP="006E0862">
      <w:pPr>
        <w:pStyle w:val="Prrafodelista"/>
        <w:numPr>
          <w:ilvl w:val="0"/>
          <w:numId w:val="1"/>
        </w:numPr>
        <w:spacing w:before="120" w:line="288" w:lineRule="auto"/>
        <w:ind w:left="360"/>
        <w:contextualSpacing w:val="0"/>
        <w:jc w:val="both"/>
        <w:rPr>
          <w:rFonts w:ascii="Arial" w:eastAsia="Arial" w:hAnsi="Arial" w:cs="Arial"/>
          <w:b/>
          <w:color w:val="000000"/>
          <w:sz w:val="23"/>
          <w:szCs w:val="23"/>
        </w:rPr>
      </w:pPr>
      <w:r>
        <w:rPr>
          <w:rFonts w:ascii="Arial" w:eastAsia="Arial" w:hAnsi="Arial" w:cs="Arial"/>
          <w:b/>
          <w:color w:val="000000"/>
          <w:sz w:val="23"/>
          <w:szCs w:val="23"/>
        </w:rPr>
        <w:t>Logística, transporte y automoción (86%), Industria (84%), Salud y farmacia (</w:t>
      </w:r>
      <w:r w:rsidR="006E0862">
        <w:rPr>
          <w:rFonts w:ascii="Arial" w:eastAsia="Arial" w:hAnsi="Arial" w:cs="Arial"/>
          <w:b/>
          <w:color w:val="000000"/>
          <w:sz w:val="23"/>
          <w:szCs w:val="23"/>
        </w:rPr>
        <w:t>81</w:t>
      </w:r>
      <w:r>
        <w:rPr>
          <w:rFonts w:ascii="Arial" w:eastAsia="Arial" w:hAnsi="Arial" w:cs="Arial"/>
          <w:b/>
          <w:color w:val="000000"/>
          <w:sz w:val="23"/>
          <w:szCs w:val="23"/>
        </w:rPr>
        <w:t>%</w:t>
      </w:r>
      <w:r w:rsidR="006E0862">
        <w:rPr>
          <w:rFonts w:ascii="Arial" w:eastAsia="Arial" w:hAnsi="Arial" w:cs="Arial"/>
          <w:b/>
          <w:color w:val="000000"/>
          <w:sz w:val="23"/>
          <w:szCs w:val="23"/>
        </w:rPr>
        <w:t xml:space="preserve">) son los sectores con mayores dificultades para atraer y fidelizar talento. En el lado opuesto </w:t>
      </w:r>
      <w:r w:rsidR="002873A6" w:rsidRPr="006E0862">
        <w:rPr>
          <w:rFonts w:ascii="Arial" w:eastAsia="Arial" w:hAnsi="Arial" w:cs="Arial"/>
          <w:b/>
          <w:color w:val="000000"/>
          <w:sz w:val="23"/>
          <w:szCs w:val="23"/>
        </w:rPr>
        <w:t>de la clasificación</w:t>
      </w:r>
      <w:r w:rsidR="006E0862">
        <w:rPr>
          <w:rFonts w:ascii="Arial" w:eastAsia="Arial" w:hAnsi="Arial" w:cs="Arial"/>
          <w:b/>
          <w:color w:val="000000"/>
          <w:sz w:val="23"/>
          <w:szCs w:val="23"/>
        </w:rPr>
        <w:t xml:space="preserve">, </w:t>
      </w:r>
      <w:r w:rsidR="002873A6" w:rsidRPr="006E0862">
        <w:rPr>
          <w:rFonts w:ascii="Arial" w:eastAsia="Arial" w:hAnsi="Arial" w:cs="Arial"/>
          <w:b/>
          <w:color w:val="000000"/>
          <w:sz w:val="23"/>
          <w:szCs w:val="23"/>
        </w:rPr>
        <w:t xml:space="preserve">se encuentra </w:t>
      </w:r>
      <w:r w:rsidR="00C84A6D" w:rsidRPr="006E0862">
        <w:rPr>
          <w:rFonts w:ascii="Arial" w:eastAsia="Arial" w:hAnsi="Arial" w:cs="Arial"/>
          <w:b/>
          <w:color w:val="000000"/>
          <w:sz w:val="23"/>
          <w:szCs w:val="23"/>
        </w:rPr>
        <w:t xml:space="preserve">el sector </w:t>
      </w:r>
      <w:r w:rsidR="002873A6" w:rsidRPr="006E0862">
        <w:rPr>
          <w:rFonts w:ascii="Arial" w:eastAsia="Arial" w:hAnsi="Arial" w:cs="Arial"/>
          <w:b/>
          <w:color w:val="000000"/>
          <w:sz w:val="23"/>
          <w:szCs w:val="23"/>
        </w:rPr>
        <w:t>Financiero e inmobiliario (70%).</w:t>
      </w:r>
    </w:p>
    <w:p w14:paraId="4443B321" w14:textId="51027DAE" w:rsidR="00727A57" w:rsidRPr="00C84A6D" w:rsidRDefault="00727A57" w:rsidP="00EC589F">
      <w:pPr>
        <w:pStyle w:val="Prrafodelista"/>
        <w:numPr>
          <w:ilvl w:val="0"/>
          <w:numId w:val="1"/>
        </w:numPr>
        <w:spacing w:before="120" w:line="288" w:lineRule="auto"/>
        <w:ind w:left="360"/>
        <w:contextualSpacing w:val="0"/>
        <w:jc w:val="both"/>
        <w:rPr>
          <w:rFonts w:ascii="Arial" w:eastAsia="Arial" w:hAnsi="Arial" w:cs="Arial"/>
          <w:b/>
          <w:i/>
          <w:iCs/>
          <w:color w:val="000000"/>
          <w:sz w:val="23"/>
          <w:szCs w:val="23"/>
        </w:rPr>
      </w:pPr>
      <w:r>
        <w:rPr>
          <w:rFonts w:ascii="Arial" w:eastAsia="Arial" w:hAnsi="Arial" w:cs="Arial"/>
          <w:b/>
          <w:color w:val="000000"/>
          <w:sz w:val="23"/>
          <w:szCs w:val="23"/>
        </w:rPr>
        <w:t>La habilidad</w:t>
      </w:r>
      <w:r w:rsidR="001B3EB7">
        <w:rPr>
          <w:rFonts w:ascii="Arial" w:eastAsia="Arial" w:hAnsi="Arial" w:cs="Arial"/>
          <w:b/>
          <w:color w:val="000000"/>
          <w:sz w:val="23"/>
          <w:szCs w:val="23"/>
        </w:rPr>
        <w:t xml:space="preserve"> social </w:t>
      </w:r>
      <w:r>
        <w:rPr>
          <w:rFonts w:ascii="Arial" w:eastAsia="Arial" w:hAnsi="Arial" w:cs="Arial"/>
          <w:b/>
          <w:color w:val="000000"/>
          <w:sz w:val="23"/>
          <w:szCs w:val="23"/>
        </w:rPr>
        <w:t xml:space="preserve">más demandada por las empresas del sector </w:t>
      </w:r>
      <w:r w:rsidR="001B3EB7">
        <w:rPr>
          <w:rFonts w:ascii="Arial" w:eastAsia="Arial" w:hAnsi="Arial" w:cs="Arial"/>
          <w:b/>
          <w:color w:val="000000"/>
          <w:sz w:val="23"/>
          <w:szCs w:val="23"/>
        </w:rPr>
        <w:t xml:space="preserve">es </w:t>
      </w:r>
      <w:r>
        <w:rPr>
          <w:rFonts w:ascii="Arial" w:eastAsia="Arial" w:hAnsi="Arial" w:cs="Arial"/>
          <w:b/>
          <w:color w:val="000000"/>
          <w:sz w:val="23"/>
          <w:szCs w:val="23"/>
        </w:rPr>
        <w:t xml:space="preserve">el aprendizaje </w:t>
      </w:r>
      <w:r w:rsidR="001B3EB7">
        <w:rPr>
          <w:rFonts w:ascii="Arial" w:eastAsia="Arial" w:hAnsi="Arial" w:cs="Arial"/>
          <w:b/>
          <w:color w:val="000000"/>
          <w:sz w:val="23"/>
          <w:szCs w:val="23"/>
        </w:rPr>
        <w:t xml:space="preserve">continuo </w:t>
      </w:r>
      <w:r>
        <w:rPr>
          <w:rFonts w:ascii="Arial" w:eastAsia="Arial" w:hAnsi="Arial" w:cs="Arial"/>
          <w:b/>
          <w:color w:val="000000"/>
          <w:sz w:val="23"/>
          <w:szCs w:val="23"/>
        </w:rPr>
        <w:t>y la curiosidad</w:t>
      </w:r>
      <w:r w:rsidR="00FC75DE">
        <w:rPr>
          <w:rFonts w:ascii="Arial" w:eastAsia="Arial" w:hAnsi="Arial" w:cs="Arial"/>
          <w:b/>
          <w:color w:val="000000"/>
          <w:sz w:val="23"/>
          <w:szCs w:val="23"/>
        </w:rPr>
        <w:t xml:space="preserve">, </w:t>
      </w:r>
      <w:r w:rsidR="006E0862">
        <w:rPr>
          <w:rFonts w:ascii="Arial" w:eastAsia="Arial" w:hAnsi="Arial" w:cs="Arial"/>
          <w:b/>
          <w:color w:val="000000"/>
          <w:sz w:val="23"/>
          <w:szCs w:val="23"/>
        </w:rPr>
        <w:t>mientras que las ventas y marketing</w:t>
      </w:r>
      <w:r w:rsidR="00C84A6D">
        <w:rPr>
          <w:rFonts w:ascii="Arial" w:eastAsia="Arial" w:hAnsi="Arial" w:cs="Arial"/>
          <w:b/>
          <w:color w:val="000000"/>
          <w:sz w:val="23"/>
          <w:szCs w:val="23"/>
        </w:rPr>
        <w:t xml:space="preserve"> </w:t>
      </w:r>
      <w:r w:rsidR="001B3EB7">
        <w:rPr>
          <w:rFonts w:ascii="Arial" w:eastAsia="Arial" w:hAnsi="Arial" w:cs="Arial"/>
          <w:b/>
          <w:color w:val="000000"/>
          <w:sz w:val="23"/>
          <w:szCs w:val="23"/>
        </w:rPr>
        <w:t>es</w:t>
      </w:r>
      <w:r w:rsidR="006E0862">
        <w:rPr>
          <w:rFonts w:ascii="Arial" w:eastAsia="Arial" w:hAnsi="Arial" w:cs="Arial"/>
          <w:b/>
          <w:color w:val="000000"/>
          <w:sz w:val="23"/>
          <w:szCs w:val="23"/>
        </w:rPr>
        <w:t xml:space="preserve"> </w:t>
      </w:r>
      <w:r w:rsidR="00C84A6D">
        <w:rPr>
          <w:rFonts w:ascii="Arial" w:eastAsia="Arial" w:hAnsi="Arial" w:cs="Arial"/>
          <w:b/>
          <w:color w:val="000000"/>
          <w:sz w:val="23"/>
          <w:szCs w:val="23"/>
        </w:rPr>
        <w:t xml:space="preserve">la </w:t>
      </w:r>
      <w:proofErr w:type="spellStart"/>
      <w:r w:rsidR="001B3EB7" w:rsidRPr="001B3EB7">
        <w:rPr>
          <w:rFonts w:ascii="Arial" w:eastAsia="Arial" w:hAnsi="Arial" w:cs="Arial"/>
          <w:b/>
          <w:i/>
          <w:iCs/>
          <w:color w:val="000000"/>
          <w:sz w:val="23"/>
          <w:szCs w:val="23"/>
        </w:rPr>
        <w:t>hard</w:t>
      </w:r>
      <w:proofErr w:type="spellEnd"/>
      <w:r w:rsidR="001B3EB7" w:rsidRPr="001B3EB7">
        <w:rPr>
          <w:rFonts w:ascii="Arial" w:eastAsia="Arial" w:hAnsi="Arial" w:cs="Arial"/>
          <w:b/>
          <w:i/>
          <w:iCs/>
          <w:color w:val="000000"/>
          <w:sz w:val="23"/>
          <w:szCs w:val="23"/>
        </w:rPr>
        <w:t xml:space="preserve"> </w:t>
      </w:r>
      <w:proofErr w:type="spellStart"/>
      <w:proofErr w:type="gramStart"/>
      <w:r w:rsidR="001B3EB7" w:rsidRPr="001B3EB7">
        <w:rPr>
          <w:rFonts w:ascii="Arial" w:eastAsia="Arial" w:hAnsi="Arial" w:cs="Arial"/>
          <w:b/>
          <w:i/>
          <w:iCs/>
          <w:color w:val="000000"/>
          <w:sz w:val="23"/>
          <w:szCs w:val="23"/>
        </w:rPr>
        <w:t>skill</w:t>
      </w:r>
      <w:proofErr w:type="spellEnd"/>
      <w:proofErr w:type="gramEnd"/>
      <w:r w:rsidR="001B3EB7">
        <w:rPr>
          <w:rFonts w:ascii="Arial" w:eastAsia="Arial" w:hAnsi="Arial" w:cs="Arial"/>
          <w:b/>
          <w:color w:val="000000"/>
          <w:sz w:val="23"/>
          <w:szCs w:val="23"/>
        </w:rPr>
        <w:t xml:space="preserve"> </w:t>
      </w:r>
      <w:r w:rsidR="00C84A6D">
        <w:rPr>
          <w:rFonts w:ascii="Arial" w:eastAsia="Arial" w:hAnsi="Arial" w:cs="Arial"/>
          <w:b/>
          <w:color w:val="000000"/>
          <w:sz w:val="23"/>
          <w:szCs w:val="23"/>
        </w:rPr>
        <w:t>más buscada</w:t>
      </w:r>
      <w:r w:rsidRPr="00C84A6D">
        <w:rPr>
          <w:rFonts w:ascii="Arial" w:eastAsia="Arial" w:hAnsi="Arial" w:cs="Arial"/>
          <w:b/>
          <w:i/>
          <w:iCs/>
          <w:color w:val="000000"/>
          <w:sz w:val="23"/>
          <w:szCs w:val="23"/>
        </w:rPr>
        <w:t>.</w:t>
      </w:r>
    </w:p>
    <w:p w14:paraId="267D0666" w14:textId="3863F4CB" w:rsidR="002873A6" w:rsidRPr="00455A09" w:rsidRDefault="00727A57" w:rsidP="00EC589F">
      <w:pPr>
        <w:pStyle w:val="Prrafodelista"/>
        <w:numPr>
          <w:ilvl w:val="0"/>
          <w:numId w:val="1"/>
        </w:numPr>
        <w:spacing w:before="120" w:line="288" w:lineRule="auto"/>
        <w:ind w:left="360"/>
        <w:contextualSpacing w:val="0"/>
        <w:jc w:val="both"/>
        <w:rPr>
          <w:rFonts w:ascii="Arial" w:eastAsia="Arial" w:hAnsi="Arial" w:cs="Arial"/>
          <w:b/>
          <w:color w:val="000000"/>
          <w:sz w:val="23"/>
          <w:szCs w:val="23"/>
        </w:rPr>
      </w:pPr>
      <w:bookmarkStart w:id="1" w:name="_Hlk132035844"/>
      <w:bookmarkStart w:id="2" w:name="_Hlk132036377"/>
      <w:r>
        <w:rPr>
          <w:rFonts w:ascii="Arial" w:eastAsia="Arial" w:hAnsi="Arial" w:cs="Arial"/>
          <w:b/>
          <w:color w:val="000000"/>
          <w:sz w:val="23"/>
          <w:szCs w:val="23"/>
        </w:rPr>
        <w:t>Entre las</w:t>
      </w:r>
      <w:r w:rsidR="002873A6">
        <w:rPr>
          <w:rFonts w:ascii="Arial" w:eastAsia="Arial" w:hAnsi="Arial" w:cs="Arial"/>
          <w:b/>
          <w:color w:val="000000"/>
          <w:sz w:val="23"/>
          <w:szCs w:val="23"/>
        </w:rPr>
        <w:t xml:space="preserve"> medidas </w:t>
      </w:r>
      <w:r>
        <w:rPr>
          <w:rFonts w:ascii="Arial" w:eastAsia="Arial" w:hAnsi="Arial" w:cs="Arial"/>
          <w:b/>
          <w:color w:val="000000"/>
          <w:sz w:val="23"/>
          <w:szCs w:val="23"/>
        </w:rPr>
        <w:t>para atraer y fidelizar talento, las más populares son la</w:t>
      </w:r>
      <w:r w:rsidR="002873A6">
        <w:rPr>
          <w:rFonts w:ascii="Arial" w:eastAsia="Arial" w:hAnsi="Arial" w:cs="Arial"/>
          <w:b/>
          <w:color w:val="000000"/>
          <w:sz w:val="23"/>
          <w:szCs w:val="23"/>
        </w:rPr>
        <w:t xml:space="preserve"> flexibilidad sobre cuándo </w:t>
      </w:r>
      <w:r w:rsidR="00C84A6D">
        <w:rPr>
          <w:rFonts w:ascii="Arial" w:eastAsia="Arial" w:hAnsi="Arial" w:cs="Arial"/>
          <w:b/>
          <w:color w:val="000000"/>
          <w:sz w:val="23"/>
          <w:szCs w:val="23"/>
        </w:rPr>
        <w:t xml:space="preserve">y sobre </w:t>
      </w:r>
      <w:r w:rsidR="002873A6">
        <w:rPr>
          <w:rFonts w:ascii="Arial" w:eastAsia="Arial" w:hAnsi="Arial" w:cs="Arial"/>
          <w:b/>
          <w:color w:val="000000"/>
          <w:sz w:val="23"/>
          <w:szCs w:val="23"/>
        </w:rPr>
        <w:t>dónde se trabaja</w:t>
      </w:r>
      <w:r w:rsidR="00C84A6D">
        <w:rPr>
          <w:rFonts w:ascii="Arial" w:eastAsia="Arial" w:hAnsi="Arial" w:cs="Arial"/>
          <w:b/>
          <w:color w:val="000000"/>
          <w:sz w:val="23"/>
          <w:szCs w:val="23"/>
        </w:rPr>
        <w:t>, empleadas por un 3</w:t>
      </w:r>
      <w:r w:rsidR="006E0862">
        <w:rPr>
          <w:rFonts w:ascii="Arial" w:eastAsia="Arial" w:hAnsi="Arial" w:cs="Arial"/>
          <w:b/>
          <w:color w:val="000000"/>
          <w:sz w:val="23"/>
          <w:szCs w:val="23"/>
        </w:rPr>
        <w:t>6</w:t>
      </w:r>
      <w:r w:rsidR="00C84A6D">
        <w:rPr>
          <w:rFonts w:ascii="Arial" w:eastAsia="Arial" w:hAnsi="Arial" w:cs="Arial"/>
          <w:b/>
          <w:color w:val="000000"/>
          <w:sz w:val="23"/>
          <w:szCs w:val="23"/>
        </w:rPr>
        <w:t>%</w:t>
      </w:r>
      <w:r w:rsidR="006E0862">
        <w:rPr>
          <w:rFonts w:ascii="Arial" w:eastAsia="Arial" w:hAnsi="Arial" w:cs="Arial"/>
          <w:b/>
          <w:color w:val="000000"/>
          <w:sz w:val="23"/>
          <w:szCs w:val="23"/>
        </w:rPr>
        <w:t xml:space="preserve"> y 32%</w:t>
      </w:r>
      <w:r w:rsidR="00C84A6D">
        <w:rPr>
          <w:rFonts w:ascii="Arial" w:eastAsia="Arial" w:hAnsi="Arial" w:cs="Arial"/>
          <w:b/>
          <w:color w:val="000000"/>
          <w:sz w:val="23"/>
          <w:szCs w:val="23"/>
        </w:rPr>
        <w:t xml:space="preserve"> de las empresas</w:t>
      </w:r>
      <w:r w:rsidR="006E0862">
        <w:rPr>
          <w:rFonts w:ascii="Arial" w:eastAsia="Arial" w:hAnsi="Arial" w:cs="Arial"/>
          <w:b/>
          <w:color w:val="000000"/>
          <w:sz w:val="23"/>
          <w:szCs w:val="23"/>
        </w:rPr>
        <w:t>, respectivamente.</w:t>
      </w:r>
    </w:p>
    <w:bookmarkEnd w:id="1"/>
    <w:bookmarkEnd w:id="2"/>
    <w:p w14:paraId="7126CAC3" w14:textId="77777777" w:rsidR="00AF1DB7" w:rsidRDefault="00AF1DB7" w:rsidP="00EC589F">
      <w:pPr>
        <w:spacing w:before="120" w:line="288" w:lineRule="auto"/>
        <w:rPr>
          <w:rFonts w:ascii="Arial" w:eastAsia="Arial" w:hAnsi="Arial" w:cs="Arial"/>
          <w:bCs/>
          <w:color w:val="000000"/>
          <w:sz w:val="23"/>
          <w:szCs w:val="23"/>
        </w:rPr>
      </w:pPr>
    </w:p>
    <w:bookmarkEnd w:id="0"/>
    <w:p w14:paraId="6866E62D" w14:textId="065BA200" w:rsidR="007309F5" w:rsidRDefault="001A2A76" w:rsidP="001B3EB7">
      <w:pPr>
        <w:spacing w:before="120" w:line="288" w:lineRule="auto"/>
        <w:jc w:val="both"/>
        <w:rPr>
          <w:rFonts w:ascii="Arial" w:eastAsia="Arial" w:hAnsi="Arial" w:cs="Arial"/>
          <w:bCs/>
          <w:color w:val="000000"/>
          <w:sz w:val="23"/>
          <w:szCs w:val="23"/>
        </w:rPr>
      </w:pPr>
      <w:r w:rsidRPr="0088444F">
        <w:rPr>
          <w:rFonts w:ascii="Arial" w:eastAsia="Arial" w:hAnsi="Arial" w:cs="Arial"/>
          <w:b/>
          <w:sz w:val="22"/>
          <w:szCs w:val="22"/>
        </w:rPr>
        <w:t xml:space="preserve">Madrid, </w:t>
      </w:r>
      <w:r w:rsidR="001B3EB7">
        <w:rPr>
          <w:rFonts w:ascii="Arial" w:eastAsia="Arial" w:hAnsi="Arial" w:cs="Arial"/>
          <w:b/>
          <w:sz w:val="22"/>
          <w:szCs w:val="22"/>
        </w:rPr>
        <w:t xml:space="preserve">9 de mayo </w:t>
      </w:r>
      <w:r w:rsidRPr="0088444F">
        <w:rPr>
          <w:rFonts w:ascii="Arial" w:eastAsia="Arial" w:hAnsi="Arial" w:cs="Arial"/>
          <w:b/>
          <w:sz w:val="22"/>
          <w:szCs w:val="22"/>
        </w:rPr>
        <w:t>de 202</w:t>
      </w:r>
      <w:r w:rsidR="00366A97">
        <w:rPr>
          <w:rFonts w:ascii="Arial" w:eastAsia="Arial" w:hAnsi="Arial" w:cs="Arial"/>
          <w:b/>
          <w:sz w:val="22"/>
          <w:szCs w:val="22"/>
        </w:rPr>
        <w:t>4</w:t>
      </w:r>
      <w:r w:rsidRPr="0088444F">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88444F">
        <w:rPr>
          <w:rFonts w:ascii="Arial" w:eastAsia="Arial" w:hAnsi="Arial" w:cs="Arial"/>
          <w:b/>
          <w:sz w:val="22"/>
          <w:szCs w:val="22"/>
        </w:rPr>
        <w:t xml:space="preserve"> </w:t>
      </w:r>
      <w:r w:rsidR="00C178DC" w:rsidRPr="0088444F">
        <w:rPr>
          <w:rFonts w:ascii="Arial" w:eastAsia="Arial" w:hAnsi="Arial" w:cs="Arial"/>
          <w:bCs/>
          <w:sz w:val="22"/>
          <w:szCs w:val="22"/>
        </w:rPr>
        <w:t xml:space="preserve">Según </w:t>
      </w:r>
      <w:r w:rsidR="00D91D62">
        <w:rPr>
          <w:rFonts w:ascii="Arial" w:eastAsia="Arial" w:hAnsi="Arial" w:cs="Arial"/>
          <w:bCs/>
          <w:sz w:val="22"/>
          <w:szCs w:val="22"/>
        </w:rPr>
        <w:t>datos d</w:t>
      </w:r>
      <w:r w:rsidR="00C178DC" w:rsidRPr="0088444F">
        <w:rPr>
          <w:rFonts w:ascii="Arial" w:eastAsia="Arial" w:hAnsi="Arial" w:cs="Arial"/>
          <w:bCs/>
          <w:sz w:val="22"/>
          <w:szCs w:val="22"/>
        </w:rPr>
        <w:t xml:space="preserve">el </w:t>
      </w:r>
      <w:r w:rsidR="00C84A6D">
        <w:rPr>
          <w:rFonts w:ascii="Arial" w:eastAsia="Arial" w:hAnsi="Arial" w:cs="Arial"/>
          <w:bCs/>
          <w:sz w:val="22"/>
          <w:szCs w:val="22"/>
        </w:rPr>
        <w:t xml:space="preserve">último </w:t>
      </w:r>
      <w:r w:rsidR="00D91D62">
        <w:rPr>
          <w:rFonts w:ascii="Arial" w:eastAsia="Arial" w:hAnsi="Arial" w:cs="Arial"/>
          <w:bCs/>
          <w:sz w:val="22"/>
          <w:szCs w:val="22"/>
        </w:rPr>
        <w:t>e</w:t>
      </w:r>
      <w:r w:rsidR="00C178DC" w:rsidRPr="0088444F">
        <w:rPr>
          <w:rFonts w:ascii="Arial" w:eastAsia="Arial" w:hAnsi="Arial" w:cs="Arial"/>
          <w:bCs/>
          <w:sz w:val="22"/>
          <w:szCs w:val="22"/>
        </w:rPr>
        <w:t>studio de ManpowerGroup sobre ‘Desajuste de Talento’,</w:t>
      </w:r>
      <w:r w:rsidR="0025100E">
        <w:rPr>
          <w:rFonts w:ascii="Arial" w:eastAsia="Arial" w:hAnsi="Arial" w:cs="Arial"/>
          <w:bCs/>
          <w:sz w:val="22"/>
          <w:szCs w:val="22"/>
        </w:rPr>
        <w:t xml:space="preserve"> correspondiente al año 2024,</w:t>
      </w:r>
      <w:r w:rsidR="00C178DC" w:rsidRPr="0088444F">
        <w:rPr>
          <w:rFonts w:ascii="Arial" w:eastAsia="Arial" w:hAnsi="Arial" w:cs="Arial"/>
          <w:bCs/>
          <w:sz w:val="22"/>
          <w:szCs w:val="22"/>
        </w:rPr>
        <w:t xml:space="preserve"> </w:t>
      </w:r>
      <w:r w:rsidR="00C178DC" w:rsidRPr="0088444F">
        <w:rPr>
          <w:rFonts w:ascii="Arial" w:eastAsia="Arial" w:hAnsi="Arial" w:cs="Arial"/>
          <w:b/>
          <w:sz w:val="22"/>
          <w:szCs w:val="22"/>
        </w:rPr>
        <w:t xml:space="preserve">un </w:t>
      </w:r>
      <w:r w:rsidR="006E0862">
        <w:rPr>
          <w:rFonts w:ascii="Arial" w:eastAsia="Arial" w:hAnsi="Arial" w:cs="Arial"/>
          <w:b/>
          <w:sz w:val="22"/>
          <w:szCs w:val="22"/>
        </w:rPr>
        <w:t>78</w:t>
      </w:r>
      <w:r w:rsidR="00C178DC" w:rsidRPr="0088444F">
        <w:rPr>
          <w:rFonts w:ascii="Arial" w:eastAsia="Arial" w:hAnsi="Arial" w:cs="Arial"/>
          <w:b/>
          <w:sz w:val="22"/>
          <w:szCs w:val="22"/>
        </w:rPr>
        <w:t xml:space="preserve">% de las empresas de </w:t>
      </w:r>
      <w:r w:rsidR="006E0862" w:rsidRPr="006E0862">
        <w:rPr>
          <w:rFonts w:ascii="Arial" w:eastAsia="Arial" w:hAnsi="Arial" w:cs="Arial"/>
          <w:b/>
          <w:sz w:val="22"/>
          <w:szCs w:val="22"/>
        </w:rPr>
        <w:t xml:space="preserve">Bienes y servicios de consumo </w:t>
      </w:r>
      <w:r w:rsidR="00C178DC" w:rsidRPr="0088444F">
        <w:rPr>
          <w:rFonts w:ascii="Arial" w:eastAsia="Arial" w:hAnsi="Arial" w:cs="Arial"/>
          <w:b/>
          <w:sz w:val="22"/>
          <w:szCs w:val="22"/>
        </w:rPr>
        <w:t xml:space="preserve">en España afirma </w:t>
      </w:r>
      <w:r w:rsidR="00D91D62">
        <w:rPr>
          <w:rFonts w:ascii="Arial" w:eastAsia="Arial" w:hAnsi="Arial" w:cs="Arial"/>
          <w:b/>
          <w:sz w:val="22"/>
          <w:szCs w:val="22"/>
        </w:rPr>
        <w:t xml:space="preserve">tener dificultades para </w:t>
      </w:r>
      <w:r w:rsidR="00C178DC" w:rsidRPr="0088444F">
        <w:rPr>
          <w:rFonts w:ascii="Arial" w:eastAsia="Arial" w:hAnsi="Arial" w:cs="Arial"/>
          <w:b/>
          <w:sz w:val="22"/>
          <w:szCs w:val="22"/>
        </w:rPr>
        <w:t xml:space="preserve">encontrar a los profesionales que </w:t>
      </w:r>
      <w:r w:rsidR="00D91D62">
        <w:rPr>
          <w:rFonts w:ascii="Arial" w:eastAsia="Arial" w:hAnsi="Arial" w:cs="Arial"/>
          <w:b/>
          <w:sz w:val="22"/>
          <w:szCs w:val="22"/>
        </w:rPr>
        <w:t>busca</w:t>
      </w:r>
      <w:r w:rsidR="00C178DC" w:rsidRPr="0088444F">
        <w:rPr>
          <w:rFonts w:ascii="Arial" w:eastAsia="Arial" w:hAnsi="Arial" w:cs="Arial"/>
          <w:bCs/>
          <w:sz w:val="22"/>
          <w:szCs w:val="22"/>
        </w:rPr>
        <w:t xml:space="preserve">. </w:t>
      </w:r>
      <w:r w:rsidR="00302E34">
        <w:rPr>
          <w:rFonts w:ascii="Arial" w:eastAsia="Arial" w:hAnsi="Arial" w:cs="Arial"/>
          <w:bCs/>
          <w:sz w:val="22"/>
          <w:szCs w:val="22"/>
        </w:rPr>
        <w:t>Este dato</w:t>
      </w:r>
      <w:r w:rsidR="007309F5">
        <w:rPr>
          <w:rFonts w:ascii="Arial" w:eastAsia="Arial" w:hAnsi="Arial" w:cs="Arial"/>
          <w:bCs/>
          <w:sz w:val="22"/>
          <w:szCs w:val="22"/>
        </w:rPr>
        <w:t xml:space="preserve">, el mismo que registran las empresas de </w:t>
      </w:r>
      <w:r w:rsidR="007309F5" w:rsidRPr="00575C42">
        <w:rPr>
          <w:rFonts w:ascii="Arial" w:eastAsia="Arial" w:hAnsi="Arial" w:cs="Arial"/>
          <w:b/>
          <w:sz w:val="22"/>
          <w:szCs w:val="22"/>
        </w:rPr>
        <w:t>Tecnología</w:t>
      </w:r>
      <w:r w:rsidR="007309F5">
        <w:rPr>
          <w:rFonts w:ascii="Arial" w:eastAsia="Arial" w:hAnsi="Arial" w:cs="Arial"/>
          <w:b/>
          <w:sz w:val="22"/>
          <w:szCs w:val="22"/>
        </w:rPr>
        <w:t>,</w:t>
      </w:r>
      <w:r w:rsidR="007309F5">
        <w:rPr>
          <w:rFonts w:ascii="Arial" w:eastAsia="Arial" w:hAnsi="Arial" w:cs="Arial"/>
          <w:bCs/>
          <w:sz w:val="22"/>
          <w:szCs w:val="22"/>
        </w:rPr>
        <w:t xml:space="preserve"> sitúa</w:t>
      </w:r>
      <w:r w:rsidR="00302E34">
        <w:rPr>
          <w:rFonts w:ascii="Arial" w:eastAsia="Arial" w:hAnsi="Arial" w:cs="Arial"/>
          <w:bCs/>
          <w:sz w:val="22"/>
          <w:szCs w:val="22"/>
        </w:rPr>
        <w:t xml:space="preserve"> al sector </w:t>
      </w:r>
      <w:r w:rsidR="007309F5">
        <w:rPr>
          <w:rFonts w:ascii="Arial" w:eastAsia="Arial" w:hAnsi="Arial" w:cs="Arial"/>
          <w:bCs/>
          <w:sz w:val="22"/>
          <w:szCs w:val="22"/>
        </w:rPr>
        <w:t>en</w:t>
      </w:r>
      <w:r w:rsidR="00302E34">
        <w:rPr>
          <w:rFonts w:ascii="Arial" w:eastAsia="Arial" w:hAnsi="Arial" w:cs="Arial"/>
          <w:bCs/>
          <w:sz w:val="22"/>
          <w:szCs w:val="22"/>
        </w:rPr>
        <w:t xml:space="preserve"> la media a nivel nacional (78%) </w:t>
      </w:r>
      <w:r w:rsidR="00925A0E">
        <w:rPr>
          <w:rFonts w:ascii="Arial" w:eastAsia="Arial" w:hAnsi="Arial" w:cs="Arial"/>
          <w:bCs/>
          <w:sz w:val="22"/>
          <w:szCs w:val="22"/>
        </w:rPr>
        <w:t xml:space="preserve">y lo posiciona </w:t>
      </w:r>
      <w:r w:rsidR="001B3EB7">
        <w:rPr>
          <w:rFonts w:ascii="Arial" w:eastAsia="Arial" w:hAnsi="Arial" w:cs="Arial"/>
          <w:bCs/>
          <w:sz w:val="22"/>
          <w:szCs w:val="22"/>
        </w:rPr>
        <w:t xml:space="preserve">ligeramente mejor que </w:t>
      </w:r>
      <w:r w:rsidR="007309F5" w:rsidRPr="007309F5">
        <w:rPr>
          <w:rFonts w:ascii="Arial" w:eastAsia="Arial" w:hAnsi="Arial" w:cs="Arial"/>
          <w:b/>
          <w:sz w:val="22"/>
          <w:szCs w:val="22"/>
        </w:rPr>
        <w:t>Logística,</w:t>
      </w:r>
      <w:r w:rsidR="007309F5">
        <w:rPr>
          <w:rFonts w:ascii="Arial" w:eastAsia="Arial" w:hAnsi="Arial" w:cs="Arial"/>
          <w:bCs/>
          <w:sz w:val="22"/>
          <w:szCs w:val="22"/>
        </w:rPr>
        <w:t xml:space="preserve"> </w:t>
      </w:r>
      <w:r w:rsidR="007309F5">
        <w:rPr>
          <w:rFonts w:ascii="Arial" w:eastAsia="Arial" w:hAnsi="Arial" w:cs="Arial"/>
          <w:b/>
          <w:color w:val="000000"/>
          <w:sz w:val="23"/>
          <w:szCs w:val="23"/>
        </w:rPr>
        <w:t xml:space="preserve">transporte y automoción (86%), Industria (84%) y Salud y farmacia (81%) </w:t>
      </w:r>
      <w:r w:rsidR="007309F5" w:rsidRPr="007309F5">
        <w:rPr>
          <w:rFonts w:ascii="Arial" w:eastAsia="Arial" w:hAnsi="Arial" w:cs="Arial"/>
          <w:bCs/>
          <w:color w:val="000000"/>
          <w:sz w:val="23"/>
          <w:szCs w:val="23"/>
        </w:rPr>
        <w:t>son los sectores con mayores dificultades para atraer y fidelizar talento.</w:t>
      </w:r>
    </w:p>
    <w:p w14:paraId="521FA6E8" w14:textId="082FA579" w:rsidR="001B3EB7" w:rsidRDefault="001B3EB7" w:rsidP="001B3EB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su parte, </w:t>
      </w:r>
      <w:r w:rsidRPr="00575C42">
        <w:rPr>
          <w:rFonts w:ascii="Arial" w:eastAsia="Arial" w:hAnsi="Arial" w:cs="Arial"/>
          <w:b/>
          <w:sz w:val="22"/>
          <w:szCs w:val="22"/>
        </w:rPr>
        <w:t>Energía y Suministros</w:t>
      </w:r>
      <w:r>
        <w:rPr>
          <w:rFonts w:ascii="Arial" w:eastAsia="Arial" w:hAnsi="Arial" w:cs="Arial"/>
          <w:b/>
          <w:sz w:val="22"/>
          <w:szCs w:val="22"/>
        </w:rPr>
        <w:t xml:space="preserve"> </w:t>
      </w:r>
      <w:r w:rsidRPr="007309F5">
        <w:rPr>
          <w:rFonts w:ascii="Arial" w:eastAsia="Arial" w:hAnsi="Arial" w:cs="Arial"/>
          <w:bCs/>
          <w:sz w:val="22"/>
          <w:szCs w:val="22"/>
        </w:rPr>
        <w:t>y</w:t>
      </w:r>
      <w:r>
        <w:rPr>
          <w:rFonts w:ascii="Arial" w:eastAsia="Arial" w:hAnsi="Arial" w:cs="Arial"/>
          <w:b/>
          <w:sz w:val="22"/>
          <w:szCs w:val="22"/>
        </w:rPr>
        <w:t xml:space="preserve"> </w:t>
      </w:r>
      <w:r w:rsidRPr="00575C42">
        <w:rPr>
          <w:rFonts w:ascii="Arial" w:eastAsia="Arial" w:hAnsi="Arial" w:cs="Arial"/>
          <w:b/>
          <w:sz w:val="22"/>
          <w:szCs w:val="22"/>
        </w:rPr>
        <w:t xml:space="preserve">Publicidad y </w:t>
      </w:r>
      <w:r>
        <w:rPr>
          <w:rFonts w:ascii="Arial" w:eastAsia="Arial" w:hAnsi="Arial" w:cs="Arial"/>
          <w:b/>
          <w:sz w:val="22"/>
          <w:szCs w:val="22"/>
        </w:rPr>
        <w:t>c</w:t>
      </w:r>
      <w:r w:rsidRPr="00575C42">
        <w:rPr>
          <w:rFonts w:ascii="Arial" w:eastAsia="Arial" w:hAnsi="Arial" w:cs="Arial"/>
          <w:b/>
          <w:sz w:val="22"/>
          <w:szCs w:val="22"/>
        </w:rPr>
        <w:t>omunicación</w:t>
      </w:r>
      <w:r>
        <w:rPr>
          <w:rFonts w:ascii="Arial" w:eastAsia="Arial" w:hAnsi="Arial" w:cs="Arial"/>
          <w:bCs/>
          <w:sz w:val="22"/>
          <w:szCs w:val="22"/>
        </w:rPr>
        <w:t xml:space="preserve"> (ambas con 77%) y el sector </w:t>
      </w:r>
      <w:r w:rsidRPr="00575C42">
        <w:rPr>
          <w:rFonts w:ascii="Arial" w:eastAsia="Arial" w:hAnsi="Arial" w:cs="Arial"/>
          <w:b/>
          <w:sz w:val="22"/>
          <w:szCs w:val="22"/>
        </w:rPr>
        <w:t>Financiero e inmobiliario</w:t>
      </w:r>
      <w:r>
        <w:rPr>
          <w:rFonts w:ascii="Arial" w:eastAsia="Arial" w:hAnsi="Arial" w:cs="Arial"/>
          <w:bCs/>
          <w:sz w:val="22"/>
          <w:szCs w:val="22"/>
        </w:rPr>
        <w:t xml:space="preserve"> (70%) son los que menos dificultades manifiestan.</w:t>
      </w:r>
    </w:p>
    <w:p w14:paraId="5ACB07E0" w14:textId="0E672344" w:rsidR="00C84A6D" w:rsidRPr="001C22CD" w:rsidRDefault="00C84A6D" w:rsidP="00C84A6D">
      <w:pPr>
        <w:spacing w:before="120" w:line="288" w:lineRule="auto"/>
        <w:jc w:val="both"/>
        <w:rPr>
          <w:rFonts w:ascii="Arial" w:eastAsia="Arial" w:hAnsi="Arial" w:cs="Arial"/>
          <w:bCs/>
          <w:sz w:val="22"/>
          <w:szCs w:val="22"/>
        </w:rPr>
      </w:pPr>
      <w:r w:rsidRPr="00A85D3B">
        <w:rPr>
          <w:rFonts w:ascii="Arial" w:eastAsia="Arial" w:hAnsi="Arial" w:cs="Arial"/>
          <w:bCs/>
          <w:sz w:val="22"/>
          <w:szCs w:val="22"/>
        </w:rPr>
        <w:t xml:space="preserve">Para </w:t>
      </w:r>
      <w:r w:rsidR="007309F5" w:rsidRPr="00A85D3B">
        <w:rPr>
          <w:rFonts w:ascii="Arial" w:eastAsia="Arial" w:hAnsi="Arial" w:cs="Arial"/>
          <w:b/>
          <w:sz w:val="22"/>
          <w:szCs w:val="22"/>
        </w:rPr>
        <w:t>Fernando</w:t>
      </w:r>
      <w:r w:rsidRPr="00A85D3B">
        <w:rPr>
          <w:rFonts w:ascii="Arial" w:eastAsia="Arial" w:hAnsi="Arial" w:cs="Arial"/>
          <w:b/>
          <w:sz w:val="22"/>
          <w:szCs w:val="22"/>
        </w:rPr>
        <w:t xml:space="preserve"> </w:t>
      </w:r>
      <w:r w:rsidR="007309F5" w:rsidRPr="00A85D3B">
        <w:rPr>
          <w:rFonts w:ascii="Arial" w:eastAsia="Arial" w:hAnsi="Arial" w:cs="Arial"/>
          <w:b/>
          <w:sz w:val="22"/>
          <w:szCs w:val="22"/>
        </w:rPr>
        <w:t>Sobrino</w:t>
      </w:r>
      <w:r w:rsidRPr="00A85D3B">
        <w:rPr>
          <w:rFonts w:ascii="Arial" w:eastAsia="Arial" w:hAnsi="Arial" w:cs="Arial"/>
          <w:b/>
          <w:sz w:val="22"/>
          <w:szCs w:val="22"/>
        </w:rPr>
        <w:t xml:space="preserve">, </w:t>
      </w:r>
      <w:proofErr w:type="gramStart"/>
      <w:r w:rsidR="007309F5" w:rsidRPr="00A85D3B">
        <w:rPr>
          <w:rFonts w:ascii="Arial" w:eastAsia="Arial" w:hAnsi="Arial" w:cs="Arial"/>
          <w:b/>
          <w:sz w:val="22"/>
          <w:szCs w:val="22"/>
        </w:rPr>
        <w:t>Director</w:t>
      </w:r>
      <w:proofErr w:type="gramEnd"/>
      <w:r w:rsidR="007309F5" w:rsidRPr="00A85D3B">
        <w:rPr>
          <w:rFonts w:ascii="Arial" w:eastAsia="Arial" w:hAnsi="Arial" w:cs="Arial"/>
          <w:b/>
          <w:sz w:val="22"/>
          <w:szCs w:val="22"/>
        </w:rPr>
        <w:t xml:space="preserve"> </w:t>
      </w:r>
      <w:r w:rsidR="00A85D3B" w:rsidRPr="00A85D3B">
        <w:rPr>
          <w:rFonts w:ascii="Arial" w:eastAsia="Arial" w:hAnsi="Arial" w:cs="Arial"/>
          <w:b/>
          <w:sz w:val="22"/>
          <w:szCs w:val="22"/>
        </w:rPr>
        <w:t xml:space="preserve">Comercial Sectorial de </w:t>
      </w:r>
      <w:r w:rsidR="001B3EB7" w:rsidRPr="00A85D3B">
        <w:rPr>
          <w:rFonts w:ascii="Arial" w:eastAsia="Arial" w:hAnsi="Arial" w:cs="Arial"/>
          <w:b/>
          <w:sz w:val="22"/>
          <w:szCs w:val="22"/>
        </w:rPr>
        <w:t>Manufactura y Bienes de consumo de</w:t>
      </w:r>
      <w:r w:rsidR="007309F5" w:rsidRPr="00A85D3B">
        <w:rPr>
          <w:rFonts w:ascii="Arial" w:eastAsia="Arial" w:hAnsi="Arial" w:cs="Arial"/>
          <w:b/>
          <w:sz w:val="22"/>
          <w:szCs w:val="22"/>
        </w:rPr>
        <w:t xml:space="preserve"> ManpowerGroup</w:t>
      </w:r>
      <w:r w:rsidRPr="00A85D3B">
        <w:rPr>
          <w:rFonts w:ascii="Arial" w:eastAsia="Arial" w:hAnsi="Arial" w:cs="Arial"/>
          <w:bCs/>
          <w:sz w:val="22"/>
          <w:szCs w:val="22"/>
        </w:rPr>
        <w:t>,</w:t>
      </w:r>
      <w:r w:rsidRPr="001C22CD">
        <w:rPr>
          <w:rFonts w:ascii="Arial" w:eastAsia="Arial" w:hAnsi="Arial" w:cs="Arial"/>
          <w:bCs/>
          <w:sz w:val="22"/>
          <w:szCs w:val="22"/>
        </w:rPr>
        <w:t xml:space="preserve"> </w:t>
      </w:r>
      <w:r>
        <w:rPr>
          <w:rFonts w:ascii="Arial" w:eastAsia="Arial" w:hAnsi="Arial" w:cs="Arial"/>
          <w:bCs/>
          <w:sz w:val="22"/>
          <w:szCs w:val="22"/>
        </w:rPr>
        <w:t>“</w:t>
      </w:r>
      <w:r w:rsidR="007309F5">
        <w:rPr>
          <w:rFonts w:ascii="Arial" w:eastAsia="Arial" w:hAnsi="Arial" w:cs="Arial"/>
          <w:bCs/>
          <w:i/>
          <w:iCs/>
          <w:sz w:val="22"/>
          <w:szCs w:val="22"/>
        </w:rPr>
        <w:t>e</w:t>
      </w:r>
      <w:r w:rsidR="007309F5" w:rsidRPr="007309F5">
        <w:rPr>
          <w:rFonts w:ascii="Arial" w:eastAsia="Arial" w:hAnsi="Arial" w:cs="Arial"/>
          <w:bCs/>
          <w:i/>
          <w:iCs/>
          <w:sz w:val="22"/>
          <w:szCs w:val="22"/>
        </w:rPr>
        <w:t>l sector necesita de profesionales cualificados, pero también tiene que repensar sus estrategias para hacerse más atractivo. Con un consumidor cada vez más informado, es crítico contar con los mejores perfiles para seguir siendo competitivos</w:t>
      </w:r>
      <w:r w:rsidR="007309F5">
        <w:rPr>
          <w:rFonts w:ascii="Arial" w:eastAsia="Arial" w:hAnsi="Arial" w:cs="Arial"/>
          <w:bCs/>
          <w:i/>
          <w:iCs/>
          <w:sz w:val="22"/>
          <w:szCs w:val="22"/>
        </w:rPr>
        <w:t>”.</w:t>
      </w:r>
    </w:p>
    <w:p w14:paraId="39F9F59E" w14:textId="77777777" w:rsidR="00C84A6D" w:rsidRDefault="00C84A6D" w:rsidP="00C84A6D">
      <w:pPr>
        <w:spacing w:before="120" w:line="288" w:lineRule="auto"/>
        <w:jc w:val="both"/>
        <w:rPr>
          <w:rFonts w:ascii="Arial" w:eastAsia="Arial" w:hAnsi="Arial" w:cs="Arial"/>
          <w:bCs/>
          <w:sz w:val="22"/>
          <w:szCs w:val="22"/>
        </w:rPr>
      </w:pPr>
    </w:p>
    <w:p w14:paraId="58B278E8" w14:textId="7DFCB8BD" w:rsidR="00AA4485" w:rsidRDefault="00AA4485" w:rsidP="00EC589F">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63481A60" wp14:editId="36A338A9">
            <wp:extent cx="5323313" cy="1571087"/>
            <wp:effectExtent l="0" t="0" r="0" b="0"/>
            <wp:docPr id="162496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6566" name="Imagen 162496566"/>
                    <pic:cNvPicPr/>
                  </pic:nvPicPr>
                  <pic:blipFill rotWithShape="1">
                    <a:blip r:embed="rId7" cstate="print">
                      <a:extLst>
                        <a:ext uri="{28A0092B-C50C-407E-A947-70E740481C1C}">
                          <a14:useLocalDpi xmlns:a14="http://schemas.microsoft.com/office/drawing/2010/main" val="0"/>
                        </a:ext>
                      </a:extLst>
                    </a:blip>
                    <a:srcRect t="4693"/>
                    <a:stretch/>
                  </pic:blipFill>
                  <pic:spPr bwMode="auto">
                    <a:xfrm>
                      <a:off x="0" y="0"/>
                      <a:ext cx="5333075" cy="1573968"/>
                    </a:xfrm>
                    <a:prstGeom prst="rect">
                      <a:avLst/>
                    </a:prstGeom>
                    <a:ln>
                      <a:noFill/>
                    </a:ln>
                    <a:extLst>
                      <a:ext uri="{53640926-AAD7-44D8-BBD7-CCE9431645EC}">
                        <a14:shadowObscured xmlns:a14="http://schemas.microsoft.com/office/drawing/2010/main"/>
                      </a:ext>
                    </a:extLst>
                  </pic:spPr>
                </pic:pic>
              </a:graphicData>
            </a:graphic>
          </wp:inline>
        </w:drawing>
      </w:r>
    </w:p>
    <w:p w14:paraId="61E378A9" w14:textId="77777777" w:rsidR="00AA4485" w:rsidRDefault="00AA4485" w:rsidP="00EC589F">
      <w:pPr>
        <w:spacing w:before="120" w:line="288" w:lineRule="auto"/>
        <w:jc w:val="center"/>
        <w:rPr>
          <w:rFonts w:ascii="Arial" w:eastAsia="Arial" w:hAnsi="Arial" w:cs="Arial"/>
          <w:bCs/>
          <w:i/>
          <w:iCs/>
          <w:sz w:val="16"/>
          <w:szCs w:val="16"/>
        </w:rPr>
      </w:pPr>
      <w:r w:rsidRPr="00C926CF">
        <w:rPr>
          <w:rFonts w:ascii="Arial" w:eastAsia="Arial" w:hAnsi="Arial" w:cs="Arial"/>
          <w:bCs/>
          <w:i/>
          <w:iCs/>
          <w:sz w:val="16"/>
          <w:szCs w:val="16"/>
        </w:rPr>
        <w:t xml:space="preserve">Gráfico desajuste de </w:t>
      </w:r>
      <w:r>
        <w:rPr>
          <w:rFonts w:ascii="Arial" w:eastAsia="Arial" w:hAnsi="Arial" w:cs="Arial"/>
          <w:bCs/>
          <w:i/>
          <w:iCs/>
          <w:sz w:val="16"/>
          <w:szCs w:val="16"/>
        </w:rPr>
        <w:t>t</w:t>
      </w:r>
      <w:r w:rsidRPr="00C926CF">
        <w:rPr>
          <w:rFonts w:ascii="Arial" w:eastAsia="Arial" w:hAnsi="Arial" w:cs="Arial"/>
          <w:bCs/>
          <w:i/>
          <w:iCs/>
          <w:sz w:val="16"/>
          <w:szCs w:val="16"/>
        </w:rPr>
        <w:t xml:space="preserve">alento </w:t>
      </w:r>
      <w:r>
        <w:rPr>
          <w:rFonts w:ascii="Arial" w:eastAsia="Arial" w:hAnsi="Arial" w:cs="Arial"/>
          <w:bCs/>
          <w:i/>
          <w:iCs/>
          <w:sz w:val="16"/>
          <w:szCs w:val="16"/>
        </w:rPr>
        <w:t xml:space="preserve">en </w:t>
      </w:r>
      <w:r w:rsidRPr="00C926CF">
        <w:rPr>
          <w:rFonts w:ascii="Arial" w:eastAsia="Arial" w:hAnsi="Arial" w:cs="Arial"/>
          <w:bCs/>
          <w:i/>
          <w:iCs/>
          <w:sz w:val="16"/>
          <w:szCs w:val="16"/>
        </w:rPr>
        <w:t>España por sectores</w:t>
      </w:r>
    </w:p>
    <w:p w14:paraId="2DB9A95F" w14:textId="77777777" w:rsidR="00C84A6D" w:rsidRDefault="00C84A6D" w:rsidP="00EC589F">
      <w:pPr>
        <w:spacing w:before="120" w:line="288" w:lineRule="auto"/>
        <w:jc w:val="both"/>
        <w:rPr>
          <w:rFonts w:ascii="Arial" w:eastAsia="Arial" w:hAnsi="Arial" w:cs="Arial"/>
          <w:bCs/>
          <w:sz w:val="22"/>
          <w:szCs w:val="22"/>
        </w:rPr>
      </w:pPr>
    </w:p>
    <w:p w14:paraId="058142BF" w14:textId="395EA0FB" w:rsidR="00C84A6D" w:rsidRPr="00C84A6D" w:rsidRDefault="00C84A6D" w:rsidP="00EC589F">
      <w:pPr>
        <w:spacing w:before="120" w:line="288" w:lineRule="auto"/>
        <w:jc w:val="both"/>
        <w:rPr>
          <w:rFonts w:ascii="Arial" w:eastAsia="Arial" w:hAnsi="Arial" w:cs="Arial"/>
          <w:b/>
          <w:sz w:val="22"/>
          <w:szCs w:val="22"/>
        </w:rPr>
      </w:pPr>
      <w:r w:rsidRPr="00C84A6D">
        <w:rPr>
          <w:rFonts w:ascii="Arial" w:eastAsia="Arial" w:hAnsi="Arial" w:cs="Arial"/>
          <w:b/>
          <w:sz w:val="22"/>
          <w:szCs w:val="22"/>
        </w:rPr>
        <w:t xml:space="preserve">Un entorno en plena transformación exige aprendizaje </w:t>
      </w:r>
      <w:r w:rsidR="007309F5" w:rsidRPr="00C84A6D">
        <w:rPr>
          <w:rFonts w:ascii="Arial" w:eastAsia="Arial" w:hAnsi="Arial" w:cs="Arial"/>
          <w:b/>
          <w:sz w:val="22"/>
          <w:szCs w:val="22"/>
        </w:rPr>
        <w:t>continuo</w:t>
      </w:r>
    </w:p>
    <w:p w14:paraId="44CA959C" w14:textId="1A1D048B" w:rsidR="007309F5" w:rsidRDefault="00A761DD" w:rsidP="00EC589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w:t>
      </w:r>
      <w:proofErr w:type="spellStart"/>
      <w:r w:rsidRPr="00AA4485">
        <w:rPr>
          <w:rFonts w:ascii="Arial" w:eastAsia="Arial" w:hAnsi="Arial" w:cs="Arial"/>
          <w:b/>
          <w:i/>
          <w:iCs/>
          <w:sz w:val="22"/>
          <w:szCs w:val="22"/>
        </w:rPr>
        <w:t>so</w:t>
      </w:r>
      <w:r w:rsidR="00AA4485" w:rsidRPr="00AA4485">
        <w:rPr>
          <w:rFonts w:ascii="Arial" w:eastAsia="Arial" w:hAnsi="Arial" w:cs="Arial"/>
          <w:b/>
          <w:i/>
          <w:iCs/>
          <w:sz w:val="22"/>
          <w:szCs w:val="22"/>
        </w:rPr>
        <w:t>ft</w:t>
      </w:r>
      <w:proofErr w:type="spellEnd"/>
      <w:r w:rsidR="00AA4485" w:rsidRPr="00AA4485">
        <w:rPr>
          <w:rFonts w:ascii="Arial" w:eastAsia="Arial" w:hAnsi="Arial" w:cs="Arial"/>
          <w:b/>
          <w:i/>
          <w:iCs/>
          <w:sz w:val="22"/>
          <w:szCs w:val="22"/>
        </w:rPr>
        <w:t xml:space="preserve"> </w:t>
      </w:r>
      <w:proofErr w:type="spellStart"/>
      <w:r w:rsidR="00AA4485" w:rsidRPr="00AA4485">
        <w:rPr>
          <w:rFonts w:ascii="Arial" w:eastAsia="Arial" w:hAnsi="Arial" w:cs="Arial"/>
          <w:b/>
          <w:i/>
          <w:iCs/>
          <w:sz w:val="22"/>
          <w:szCs w:val="22"/>
        </w:rPr>
        <w:t>skills</w:t>
      </w:r>
      <w:proofErr w:type="spellEnd"/>
      <w:r w:rsidR="00AA4485" w:rsidRPr="00AA4485">
        <w:rPr>
          <w:rFonts w:ascii="Arial" w:eastAsia="Arial" w:hAnsi="Arial" w:cs="Arial"/>
          <w:b/>
          <w:sz w:val="22"/>
          <w:szCs w:val="22"/>
        </w:rPr>
        <w:t xml:space="preserve"> </w:t>
      </w:r>
      <w:r w:rsidR="00AA4485">
        <w:rPr>
          <w:rFonts w:ascii="Arial" w:eastAsia="Arial" w:hAnsi="Arial" w:cs="Arial"/>
          <w:bCs/>
          <w:sz w:val="22"/>
          <w:szCs w:val="22"/>
        </w:rPr>
        <w:t xml:space="preserve">han </w:t>
      </w:r>
      <w:r w:rsidR="00C84A6D">
        <w:rPr>
          <w:rFonts w:ascii="Arial" w:eastAsia="Arial" w:hAnsi="Arial" w:cs="Arial"/>
          <w:bCs/>
          <w:sz w:val="22"/>
          <w:szCs w:val="22"/>
        </w:rPr>
        <w:t xml:space="preserve">ganado en relevancia </w:t>
      </w:r>
      <w:r w:rsidR="00AA4485">
        <w:rPr>
          <w:rFonts w:ascii="Arial" w:eastAsia="Arial" w:hAnsi="Arial" w:cs="Arial"/>
          <w:bCs/>
          <w:sz w:val="22"/>
          <w:szCs w:val="22"/>
        </w:rPr>
        <w:t xml:space="preserve">en los últimos años. </w:t>
      </w:r>
      <w:r w:rsidR="00925A0E" w:rsidRPr="00DC7FEF">
        <w:rPr>
          <w:rFonts w:ascii="Arial" w:eastAsia="Arial" w:hAnsi="Arial" w:cs="Arial"/>
          <w:b/>
          <w:sz w:val="22"/>
          <w:szCs w:val="22"/>
        </w:rPr>
        <w:t>El</w:t>
      </w:r>
      <w:r w:rsidR="00925A0E">
        <w:rPr>
          <w:rFonts w:ascii="Arial" w:eastAsia="Arial" w:hAnsi="Arial" w:cs="Arial"/>
          <w:bCs/>
          <w:sz w:val="22"/>
          <w:szCs w:val="22"/>
        </w:rPr>
        <w:t xml:space="preserve"> </w:t>
      </w:r>
      <w:r w:rsidR="00925A0E" w:rsidRPr="00DC7FEF">
        <w:rPr>
          <w:rFonts w:ascii="Arial" w:eastAsia="Arial" w:hAnsi="Arial" w:cs="Arial"/>
          <w:b/>
          <w:sz w:val="22"/>
          <w:szCs w:val="22"/>
        </w:rPr>
        <w:t xml:space="preserve">aprendizaje continuo y la curiosidad </w:t>
      </w:r>
      <w:r w:rsidR="00925A0E" w:rsidRPr="007309F5">
        <w:rPr>
          <w:rFonts w:ascii="Arial" w:eastAsia="Arial" w:hAnsi="Arial" w:cs="Arial"/>
          <w:bCs/>
          <w:sz w:val="22"/>
          <w:szCs w:val="22"/>
        </w:rPr>
        <w:t>(</w:t>
      </w:r>
      <w:r w:rsidR="007309F5" w:rsidRPr="007309F5">
        <w:rPr>
          <w:rFonts w:ascii="Arial" w:eastAsia="Arial" w:hAnsi="Arial" w:cs="Arial"/>
          <w:bCs/>
          <w:sz w:val="22"/>
          <w:szCs w:val="22"/>
        </w:rPr>
        <w:t>30</w:t>
      </w:r>
      <w:r w:rsidR="00925A0E" w:rsidRPr="007309F5">
        <w:rPr>
          <w:rFonts w:ascii="Arial" w:eastAsia="Arial" w:hAnsi="Arial" w:cs="Arial"/>
          <w:bCs/>
          <w:sz w:val="22"/>
          <w:szCs w:val="22"/>
        </w:rPr>
        <w:t>%),</w:t>
      </w:r>
      <w:r w:rsidR="00925A0E" w:rsidRPr="00DC7FEF">
        <w:rPr>
          <w:rFonts w:ascii="Arial" w:eastAsia="Arial" w:hAnsi="Arial" w:cs="Arial"/>
          <w:b/>
          <w:sz w:val="22"/>
          <w:szCs w:val="22"/>
        </w:rPr>
        <w:t xml:space="preserve"> la </w:t>
      </w:r>
      <w:r w:rsidR="007309F5">
        <w:rPr>
          <w:rFonts w:ascii="Arial" w:eastAsia="Arial" w:hAnsi="Arial" w:cs="Arial"/>
          <w:b/>
          <w:sz w:val="22"/>
          <w:szCs w:val="22"/>
        </w:rPr>
        <w:t xml:space="preserve">comunicación y el trabajo en equipo </w:t>
      </w:r>
      <w:r w:rsidR="007309F5" w:rsidRPr="007309F5">
        <w:rPr>
          <w:rFonts w:ascii="Arial" w:eastAsia="Arial" w:hAnsi="Arial" w:cs="Arial"/>
          <w:bCs/>
          <w:sz w:val="22"/>
          <w:szCs w:val="22"/>
        </w:rPr>
        <w:t>(26%),</w:t>
      </w:r>
      <w:r w:rsidR="007309F5">
        <w:rPr>
          <w:rFonts w:ascii="Arial" w:eastAsia="Arial" w:hAnsi="Arial" w:cs="Arial"/>
          <w:b/>
          <w:sz w:val="22"/>
          <w:szCs w:val="22"/>
        </w:rPr>
        <w:t xml:space="preserve"> la </w:t>
      </w:r>
      <w:r w:rsidR="00925A0E" w:rsidRPr="00DC7FEF">
        <w:rPr>
          <w:rFonts w:ascii="Arial" w:eastAsia="Arial" w:hAnsi="Arial" w:cs="Arial"/>
          <w:b/>
          <w:sz w:val="22"/>
          <w:szCs w:val="22"/>
        </w:rPr>
        <w:t xml:space="preserve">creatividad e innovación </w:t>
      </w:r>
      <w:r w:rsidR="007E34BF" w:rsidRPr="007309F5">
        <w:rPr>
          <w:rFonts w:ascii="Arial" w:eastAsia="Arial" w:hAnsi="Arial" w:cs="Arial"/>
          <w:b/>
          <w:sz w:val="22"/>
          <w:szCs w:val="22"/>
        </w:rPr>
        <w:t>y</w:t>
      </w:r>
      <w:r w:rsidR="007309F5" w:rsidRPr="007309F5">
        <w:rPr>
          <w:rFonts w:ascii="Arial" w:eastAsia="Arial" w:hAnsi="Arial" w:cs="Arial"/>
          <w:b/>
          <w:sz w:val="22"/>
          <w:szCs w:val="22"/>
        </w:rPr>
        <w:t xml:space="preserve"> las habilidades digitales </w:t>
      </w:r>
      <w:r w:rsidR="007309F5" w:rsidRPr="007309F5">
        <w:rPr>
          <w:rFonts w:ascii="Arial" w:eastAsia="Arial" w:hAnsi="Arial" w:cs="Arial"/>
          <w:bCs/>
          <w:sz w:val="22"/>
          <w:szCs w:val="22"/>
        </w:rPr>
        <w:t>(ambas con un 24%)</w:t>
      </w:r>
      <w:r w:rsidR="00925A0E">
        <w:rPr>
          <w:rFonts w:ascii="Arial" w:eastAsia="Arial" w:hAnsi="Arial" w:cs="Arial"/>
          <w:bCs/>
          <w:sz w:val="22"/>
          <w:szCs w:val="22"/>
        </w:rPr>
        <w:t xml:space="preserve"> </w:t>
      </w:r>
      <w:r w:rsidR="007309F5">
        <w:rPr>
          <w:rFonts w:ascii="Arial" w:eastAsia="Arial" w:hAnsi="Arial" w:cs="Arial"/>
          <w:bCs/>
          <w:sz w:val="22"/>
          <w:szCs w:val="22"/>
        </w:rPr>
        <w:t xml:space="preserve">son las más demandadas para las empresas de </w:t>
      </w:r>
      <w:r w:rsidR="007309F5" w:rsidRPr="007309F5">
        <w:rPr>
          <w:rFonts w:ascii="Arial" w:eastAsia="Arial" w:hAnsi="Arial" w:cs="Arial"/>
          <w:bCs/>
          <w:sz w:val="22"/>
          <w:szCs w:val="22"/>
        </w:rPr>
        <w:t>Bienes y servicios de consumo</w:t>
      </w:r>
      <w:r w:rsidR="007309F5">
        <w:rPr>
          <w:rFonts w:ascii="Arial" w:eastAsia="Arial" w:hAnsi="Arial" w:cs="Arial"/>
          <w:bCs/>
          <w:sz w:val="22"/>
          <w:szCs w:val="22"/>
        </w:rPr>
        <w:t>.</w:t>
      </w:r>
    </w:p>
    <w:p w14:paraId="4A79876B" w14:textId="66440F27" w:rsidR="00925A0E" w:rsidRDefault="0093382A" w:rsidP="00EC589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lo que se refiere a </w:t>
      </w:r>
      <w:r w:rsidR="00C84A6D" w:rsidRPr="00C84A6D">
        <w:rPr>
          <w:rFonts w:ascii="Arial" w:eastAsia="Arial" w:hAnsi="Arial" w:cs="Arial"/>
          <w:b/>
          <w:sz w:val="22"/>
          <w:szCs w:val="22"/>
        </w:rPr>
        <w:t>competencias técnicas</w:t>
      </w:r>
      <w:r>
        <w:rPr>
          <w:rFonts w:ascii="Arial" w:eastAsia="Arial" w:hAnsi="Arial" w:cs="Arial"/>
          <w:bCs/>
          <w:sz w:val="22"/>
          <w:szCs w:val="22"/>
        </w:rPr>
        <w:t xml:space="preserve">, </w:t>
      </w:r>
      <w:r w:rsidR="00E10CF2">
        <w:rPr>
          <w:rFonts w:ascii="Arial" w:eastAsia="Arial" w:hAnsi="Arial" w:cs="Arial"/>
          <w:bCs/>
          <w:sz w:val="22"/>
          <w:szCs w:val="22"/>
        </w:rPr>
        <w:t>lideran el ranking aquellas relacionadas con las</w:t>
      </w:r>
      <w:r w:rsidR="007309F5">
        <w:rPr>
          <w:rFonts w:ascii="Arial" w:eastAsia="Arial" w:hAnsi="Arial" w:cs="Arial"/>
          <w:bCs/>
          <w:sz w:val="22"/>
          <w:szCs w:val="22"/>
        </w:rPr>
        <w:t xml:space="preserve"> </w:t>
      </w:r>
      <w:r w:rsidR="007309F5" w:rsidRPr="007309F5">
        <w:rPr>
          <w:rFonts w:ascii="Arial" w:eastAsia="Arial" w:hAnsi="Arial" w:cs="Arial"/>
          <w:b/>
          <w:sz w:val="22"/>
          <w:szCs w:val="22"/>
        </w:rPr>
        <w:t>ventas y el marketing</w:t>
      </w:r>
      <w:r w:rsidR="007309F5">
        <w:rPr>
          <w:rFonts w:ascii="Arial" w:eastAsia="Arial" w:hAnsi="Arial" w:cs="Arial"/>
          <w:bCs/>
          <w:sz w:val="22"/>
          <w:szCs w:val="22"/>
        </w:rPr>
        <w:t xml:space="preserve"> (29%),</w:t>
      </w:r>
      <w:r w:rsidR="00E10CF2">
        <w:rPr>
          <w:rFonts w:ascii="Arial" w:eastAsia="Arial" w:hAnsi="Arial" w:cs="Arial"/>
          <w:bCs/>
          <w:sz w:val="22"/>
          <w:szCs w:val="22"/>
        </w:rPr>
        <w:t xml:space="preserve"> </w:t>
      </w:r>
      <w:r w:rsidR="007309F5" w:rsidRPr="007309F5">
        <w:rPr>
          <w:rFonts w:ascii="Arial" w:eastAsia="Arial" w:hAnsi="Arial" w:cs="Arial"/>
          <w:b/>
          <w:sz w:val="22"/>
          <w:szCs w:val="22"/>
        </w:rPr>
        <w:t>las</w:t>
      </w:r>
      <w:r w:rsidR="007309F5">
        <w:rPr>
          <w:rFonts w:ascii="Arial" w:eastAsia="Arial" w:hAnsi="Arial" w:cs="Arial"/>
          <w:bCs/>
          <w:sz w:val="22"/>
          <w:szCs w:val="22"/>
        </w:rPr>
        <w:t xml:space="preserve"> </w:t>
      </w:r>
      <w:r w:rsidR="00E10CF2" w:rsidRPr="00DC7FEF">
        <w:rPr>
          <w:rFonts w:ascii="Arial" w:eastAsia="Arial" w:hAnsi="Arial" w:cs="Arial"/>
          <w:b/>
          <w:sz w:val="22"/>
          <w:szCs w:val="22"/>
        </w:rPr>
        <w:t>tecnologías de la información y el data</w:t>
      </w:r>
      <w:r w:rsidR="007309F5">
        <w:rPr>
          <w:rFonts w:ascii="Arial" w:eastAsia="Arial" w:hAnsi="Arial" w:cs="Arial"/>
          <w:b/>
          <w:sz w:val="22"/>
          <w:szCs w:val="22"/>
        </w:rPr>
        <w:t xml:space="preserve"> </w:t>
      </w:r>
      <w:r w:rsidR="007309F5" w:rsidRPr="007309F5">
        <w:rPr>
          <w:rFonts w:ascii="Arial" w:eastAsia="Arial" w:hAnsi="Arial" w:cs="Arial"/>
          <w:bCs/>
          <w:sz w:val="22"/>
          <w:szCs w:val="22"/>
        </w:rPr>
        <w:t>(27%),</w:t>
      </w:r>
      <w:r w:rsidR="00E10CF2" w:rsidRPr="00DC7FEF">
        <w:rPr>
          <w:rFonts w:ascii="Arial" w:eastAsia="Arial" w:hAnsi="Arial" w:cs="Arial"/>
          <w:b/>
          <w:sz w:val="22"/>
          <w:szCs w:val="22"/>
        </w:rPr>
        <w:t xml:space="preserve"> la </w:t>
      </w:r>
      <w:r w:rsidR="007309F5">
        <w:rPr>
          <w:rFonts w:ascii="Arial" w:eastAsia="Arial" w:hAnsi="Arial" w:cs="Arial"/>
          <w:b/>
          <w:sz w:val="22"/>
          <w:szCs w:val="22"/>
        </w:rPr>
        <w:t xml:space="preserve">sostenibilidad </w:t>
      </w:r>
      <w:r w:rsidR="007309F5" w:rsidRPr="007309F5">
        <w:rPr>
          <w:rFonts w:ascii="Arial" w:eastAsia="Arial" w:hAnsi="Arial" w:cs="Arial"/>
          <w:bCs/>
          <w:sz w:val="22"/>
          <w:szCs w:val="22"/>
        </w:rPr>
        <w:t>(24%)</w:t>
      </w:r>
      <w:r w:rsidR="00E10CF2" w:rsidRPr="007309F5">
        <w:rPr>
          <w:rFonts w:ascii="Arial" w:eastAsia="Arial" w:hAnsi="Arial" w:cs="Arial"/>
          <w:bCs/>
          <w:sz w:val="22"/>
          <w:szCs w:val="22"/>
        </w:rPr>
        <w:t>,</w:t>
      </w:r>
      <w:r w:rsidR="007309F5">
        <w:rPr>
          <w:rFonts w:ascii="Arial" w:eastAsia="Arial" w:hAnsi="Arial" w:cs="Arial"/>
          <w:bCs/>
          <w:sz w:val="22"/>
          <w:szCs w:val="22"/>
        </w:rPr>
        <w:t xml:space="preserve"> la </w:t>
      </w:r>
      <w:r w:rsidR="007309F5" w:rsidRPr="007309F5">
        <w:rPr>
          <w:rFonts w:ascii="Arial" w:eastAsia="Arial" w:hAnsi="Arial" w:cs="Arial"/>
          <w:b/>
          <w:sz w:val="22"/>
          <w:szCs w:val="22"/>
        </w:rPr>
        <w:t>Manufactura y producción</w:t>
      </w:r>
      <w:r w:rsidR="007309F5">
        <w:rPr>
          <w:rFonts w:ascii="Arial" w:eastAsia="Arial" w:hAnsi="Arial" w:cs="Arial"/>
          <w:b/>
          <w:sz w:val="22"/>
          <w:szCs w:val="22"/>
        </w:rPr>
        <w:t xml:space="preserve"> </w:t>
      </w:r>
      <w:r w:rsidR="007309F5" w:rsidRPr="007309F5">
        <w:rPr>
          <w:rFonts w:ascii="Arial" w:eastAsia="Arial" w:hAnsi="Arial" w:cs="Arial"/>
          <w:bCs/>
          <w:sz w:val="22"/>
          <w:szCs w:val="22"/>
        </w:rPr>
        <w:t>(21%)</w:t>
      </w:r>
      <w:r w:rsidR="007309F5">
        <w:rPr>
          <w:rFonts w:ascii="Arial" w:eastAsia="Arial" w:hAnsi="Arial" w:cs="Arial"/>
          <w:bCs/>
          <w:sz w:val="22"/>
          <w:szCs w:val="22"/>
        </w:rPr>
        <w:t>, y la</w:t>
      </w:r>
      <w:r w:rsidR="007309F5" w:rsidRPr="007309F5">
        <w:t xml:space="preserve"> </w:t>
      </w:r>
      <w:r w:rsidR="007309F5" w:rsidRPr="007309F5">
        <w:rPr>
          <w:rFonts w:ascii="Arial" w:eastAsia="Arial" w:hAnsi="Arial" w:cs="Arial"/>
          <w:b/>
          <w:sz w:val="22"/>
          <w:szCs w:val="22"/>
        </w:rPr>
        <w:t>Gobernanza, asesoramiento y gestión de riesgos ESG</w:t>
      </w:r>
      <w:r w:rsidR="007309F5" w:rsidRPr="007309F5">
        <w:rPr>
          <w:rFonts w:ascii="Arial" w:eastAsia="Arial" w:hAnsi="Arial" w:cs="Arial"/>
          <w:bCs/>
          <w:sz w:val="22"/>
          <w:szCs w:val="22"/>
        </w:rPr>
        <w:t xml:space="preserve"> (18%)</w:t>
      </w:r>
      <w:r w:rsidR="007309F5">
        <w:rPr>
          <w:rFonts w:ascii="Arial" w:eastAsia="Arial" w:hAnsi="Arial" w:cs="Arial"/>
          <w:bCs/>
          <w:sz w:val="22"/>
          <w:szCs w:val="22"/>
        </w:rPr>
        <w:t>.</w:t>
      </w:r>
    </w:p>
    <w:p w14:paraId="5CB03086" w14:textId="45E1028C" w:rsidR="002873A6" w:rsidRDefault="006B24D5" w:rsidP="00EC589F">
      <w:pPr>
        <w:spacing w:before="120" w:line="288" w:lineRule="auto"/>
        <w:jc w:val="center"/>
        <w:rPr>
          <w:rFonts w:ascii="Arial" w:eastAsia="Arial" w:hAnsi="Arial" w:cs="Arial"/>
          <w:bCs/>
          <w:sz w:val="22"/>
          <w:szCs w:val="22"/>
        </w:rPr>
      </w:pPr>
      <w:r w:rsidRPr="006B24D5">
        <w:rPr>
          <w:rFonts w:ascii="Arial" w:eastAsia="Arial" w:hAnsi="Arial" w:cs="Arial"/>
          <w:bCs/>
          <w:noProof/>
          <w:sz w:val="22"/>
          <w:szCs w:val="22"/>
        </w:rPr>
        <w:drawing>
          <wp:inline distT="0" distB="0" distL="0" distR="0" wp14:anchorId="642B9D28" wp14:editId="0739273E">
            <wp:extent cx="5513070" cy="1943100"/>
            <wp:effectExtent l="0" t="0" r="0" b="0"/>
            <wp:docPr id="365971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711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3070" cy="1943100"/>
                    </a:xfrm>
                    <a:prstGeom prst="rect">
                      <a:avLst/>
                    </a:prstGeom>
                  </pic:spPr>
                </pic:pic>
              </a:graphicData>
            </a:graphic>
          </wp:inline>
        </w:drawing>
      </w:r>
    </w:p>
    <w:p w14:paraId="50E577A0" w14:textId="62BA1010" w:rsidR="00AA4485" w:rsidRPr="00AA4485" w:rsidRDefault="00AA4485" w:rsidP="00EC589F">
      <w:pPr>
        <w:spacing w:before="120" w:line="288" w:lineRule="auto"/>
        <w:jc w:val="center"/>
        <w:rPr>
          <w:rFonts w:ascii="Arial" w:eastAsia="Arial" w:hAnsi="Arial" w:cs="Arial"/>
          <w:i/>
          <w:iCs/>
          <w:sz w:val="16"/>
          <w:szCs w:val="16"/>
        </w:rPr>
      </w:pPr>
      <w:proofErr w:type="spellStart"/>
      <w:r w:rsidRPr="00AA4485">
        <w:rPr>
          <w:rFonts w:ascii="Arial" w:eastAsia="Arial" w:hAnsi="Arial" w:cs="Arial"/>
          <w:bCs/>
          <w:i/>
          <w:iCs/>
          <w:sz w:val="16"/>
          <w:szCs w:val="16"/>
        </w:rPr>
        <w:t>Skills</w:t>
      </w:r>
      <w:proofErr w:type="spellEnd"/>
      <w:r w:rsidRPr="00AA4485">
        <w:rPr>
          <w:rFonts w:ascii="Arial" w:eastAsia="Arial" w:hAnsi="Arial" w:cs="Arial"/>
          <w:bCs/>
          <w:i/>
          <w:iCs/>
          <w:sz w:val="16"/>
          <w:szCs w:val="16"/>
        </w:rPr>
        <w:t xml:space="preserve"> más demandadas en </w:t>
      </w:r>
      <w:r w:rsidRPr="00AA4485">
        <w:rPr>
          <w:rFonts w:ascii="Arial" w:eastAsia="Arial" w:hAnsi="Arial" w:cs="Arial"/>
          <w:i/>
          <w:iCs/>
          <w:sz w:val="16"/>
          <w:szCs w:val="16"/>
        </w:rPr>
        <w:t>Logística, transporte y automoción</w:t>
      </w:r>
      <w:r>
        <w:rPr>
          <w:rFonts w:ascii="Arial" w:eastAsia="Arial" w:hAnsi="Arial" w:cs="Arial"/>
          <w:i/>
          <w:iCs/>
          <w:sz w:val="16"/>
          <w:szCs w:val="16"/>
        </w:rPr>
        <w:t xml:space="preserve"> en España</w:t>
      </w:r>
    </w:p>
    <w:p w14:paraId="78F87465" w14:textId="17073172" w:rsidR="001143D9" w:rsidRDefault="001143D9" w:rsidP="00EC589F">
      <w:pPr>
        <w:spacing w:before="120" w:line="288" w:lineRule="auto"/>
        <w:rPr>
          <w:rFonts w:ascii="Arial" w:eastAsia="Arial" w:hAnsi="Arial" w:cs="Arial"/>
          <w:bCs/>
          <w:sz w:val="22"/>
          <w:szCs w:val="22"/>
        </w:rPr>
      </w:pPr>
    </w:p>
    <w:p w14:paraId="4A43339E" w14:textId="345DCAE4" w:rsidR="00787041" w:rsidRPr="00EA1285" w:rsidRDefault="00787041" w:rsidP="00EC589F">
      <w:pPr>
        <w:spacing w:before="120" w:line="288" w:lineRule="auto"/>
        <w:rPr>
          <w:rFonts w:ascii="Arial" w:eastAsia="Arial" w:hAnsi="Arial" w:cs="Arial"/>
          <w:b/>
          <w:sz w:val="22"/>
          <w:szCs w:val="22"/>
        </w:rPr>
      </w:pPr>
      <w:r w:rsidRPr="00EA1285">
        <w:rPr>
          <w:rFonts w:ascii="Arial" w:eastAsia="Arial" w:hAnsi="Arial" w:cs="Arial"/>
          <w:b/>
          <w:sz w:val="22"/>
          <w:szCs w:val="22"/>
        </w:rPr>
        <w:t xml:space="preserve">Medidas de flexibilidad para abordar el desajuste de talento </w:t>
      </w:r>
    </w:p>
    <w:p w14:paraId="263BB233" w14:textId="5D663E36" w:rsidR="003E69CD" w:rsidRDefault="001B3EB7" w:rsidP="00EC589F">
      <w:pPr>
        <w:spacing w:before="120" w:line="288" w:lineRule="auto"/>
        <w:jc w:val="both"/>
        <w:rPr>
          <w:rFonts w:ascii="Arial" w:eastAsia="Arial" w:hAnsi="Arial" w:cs="Arial"/>
          <w:bCs/>
          <w:sz w:val="22"/>
          <w:szCs w:val="22"/>
        </w:rPr>
      </w:pPr>
      <w:r>
        <w:rPr>
          <w:rFonts w:ascii="Arial" w:eastAsia="Arial" w:hAnsi="Arial" w:cs="Arial"/>
          <w:b/>
          <w:sz w:val="22"/>
          <w:szCs w:val="22"/>
        </w:rPr>
        <w:t>P</w:t>
      </w:r>
      <w:r w:rsidRPr="00F7568F">
        <w:rPr>
          <w:rFonts w:ascii="Arial" w:eastAsia="Arial" w:hAnsi="Arial" w:cs="Arial"/>
          <w:b/>
          <w:sz w:val="22"/>
          <w:szCs w:val="22"/>
        </w:rPr>
        <w:t xml:space="preserve">ara afrontar </w:t>
      </w:r>
      <w:r>
        <w:rPr>
          <w:rFonts w:ascii="Arial" w:eastAsia="Arial" w:hAnsi="Arial" w:cs="Arial"/>
          <w:b/>
          <w:sz w:val="22"/>
          <w:szCs w:val="22"/>
        </w:rPr>
        <w:t xml:space="preserve">el desajuste </w:t>
      </w:r>
      <w:r w:rsidRPr="00F7568F">
        <w:rPr>
          <w:rFonts w:ascii="Arial" w:eastAsia="Arial" w:hAnsi="Arial" w:cs="Arial"/>
          <w:b/>
          <w:sz w:val="22"/>
          <w:szCs w:val="22"/>
        </w:rPr>
        <w:t xml:space="preserve">de </w:t>
      </w:r>
      <w:r>
        <w:rPr>
          <w:rFonts w:ascii="Arial" w:eastAsia="Arial" w:hAnsi="Arial" w:cs="Arial"/>
          <w:b/>
          <w:sz w:val="22"/>
          <w:szCs w:val="22"/>
        </w:rPr>
        <w:t xml:space="preserve">talento, </w:t>
      </w:r>
      <w:r>
        <w:rPr>
          <w:rFonts w:ascii="Arial" w:eastAsia="Arial" w:hAnsi="Arial" w:cs="Arial"/>
          <w:bCs/>
          <w:sz w:val="22"/>
          <w:szCs w:val="22"/>
        </w:rPr>
        <w:t>e</w:t>
      </w:r>
      <w:r w:rsidR="00626782">
        <w:rPr>
          <w:rFonts w:ascii="Arial" w:eastAsia="Arial" w:hAnsi="Arial" w:cs="Arial"/>
          <w:bCs/>
          <w:sz w:val="22"/>
          <w:szCs w:val="22"/>
        </w:rPr>
        <w:t xml:space="preserve">l </w:t>
      </w:r>
      <w:r w:rsidR="0045661F">
        <w:rPr>
          <w:rFonts w:ascii="Arial" w:eastAsia="Arial" w:hAnsi="Arial" w:cs="Arial"/>
          <w:bCs/>
          <w:sz w:val="22"/>
          <w:szCs w:val="22"/>
        </w:rPr>
        <w:t>3</w:t>
      </w:r>
      <w:r w:rsidR="006B24D5">
        <w:rPr>
          <w:rFonts w:ascii="Arial" w:eastAsia="Arial" w:hAnsi="Arial" w:cs="Arial"/>
          <w:bCs/>
          <w:sz w:val="22"/>
          <w:szCs w:val="22"/>
        </w:rPr>
        <w:t>6</w:t>
      </w:r>
      <w:r w:rsidR="00626782">
        <w:rPr>
          <w:rFonts w:ascii="Arial" w:eastAsia="Arial" w:hAnsi="Arial" w:cs="Arial"/>
          <w:bCs/>
          <w:sz w:val="22"/>
          <w:szCs w:val="22"/>
        </w:rPr>
        <w:t xml:space="preserve">% de </w:t>
      </w:r>
      <w:r w:rsidR="00AE602A">
        <w:rPr>
          <w:rFonts w:ascii="Arial" w:eastAsia="Arial" w:hAnsi="Arial" w:cs="Arial"/>
          <w:bCs/>
          <w:sz w:val="22"/>
          <w:szCs w:val="22"/>
        </w:rPr>
        <w:t xml:space="preserve">las compañías de </w:t>
      </w:r>
      <w:r w:rsidR="006B24D5" w:rsidRPr="007309F5">
        <w:rPr>
          <w:rFonts w:ascii="Arial" w:eastAsia="Arial" w:hAnsi="Arial" w:cs="Arial"/>
          <w:bCs/>
          <w:sz w:val="22"/>
          <w:szCs w:val="22"/>
        </w:rPr>
        <w:t>Bienes y servicios de consumo</w:t>
      </w:r>
      <w:r w:rsidR="006B24D5" w:rsidRPr="00F7568F">
        <w:rPr>
          <w:rFonts w:ascii="Arial" w:eastAsia="Arial" w:hAnsi="Arial" w:cs="Arial"/>
          <w:b/>
          <w:sz w:val="22"/>
          <w:szCs w:val="22"/>
        </w:rPr>
        <w:t xml:space="preserve"> </w:t>
      </w:r>
      <w:r w:rsidR="00626782" w:rsidRPr="00F7568F">
        <w:rPr>
          <w:rFonts w:ascii="Arial" w:eastAsia="Arial" w:hAnsi="Arial" w:cs="Arial"/>
          <w:b/>
          <w:sz w:val="22"/>
          <w:szCs w:val="22"/>
        </w:rPr>
        <w:t>apuestan por medidas de flexibilidad</w:t>
      </w:r>
      <w:r w:rsidR="006B24D5">
        <w:rPr>
          <w:rFonts w:ascii="Arial" w:eastAsia="Arial" w:hAnsi="Arial" w:cs="Arial"/>
          <w:b/>
          <w:sz w:val="22"/>
          <w:szCs w:val="22"/>
        </w:rPr>
        <w:t xml:space="preserve"> </w:t>
      </w:r>
      <w:proofErr w:type="gramStart"/>
      <w:r w:rsidR="006B24D5">
        <w:rPr>
          <w:rFonts w:ascii="Arial" w:eastAsia="Arial" w:hAnsi="Arial" w:cs="Arial"/>
          <w:b/>
          <w:sz w:val="22"/>
          <w:szCs w:val="22"/>
        </w:rPr>
        <w:t>en relación</w:t>
      </w:r>
      <w:r w:rsidR="002E097D" w:rsidRPr="00F7568F">
        <w:rPr>
          <w:rFonts w:ascii="Arial" w:eastAsia="Arial" w:hAnsi="Arial" w:cs="Arial"/>
          <w:b/>
          <w:sz w:val="22"/>
          <w:szCs w:val="22"/>
        </w:rPr>
        <w:t xml:space="preserve"> al</w:t>
      </w:r>
      <w:proofErr w:type="gramEnd"/>
      <w:r w:rsidR="00626782" w:rsidRPr="00F7568F">
        <w:rPr>
          <w:rFonts w:ascii="Arial" w:eastAsia="Arial" w:hAnsi="Arial" w:cs="Arial"/>
          <w:b/>
          <w:sz w:val="22"/>
          <w:szCs w:val="22"/>
        </w:rPr>
        <w:t xml:space="preserve"> cuándo</w:t>
      </w:r>
      <w:r>
        <w:rPr>
          <w:rFonts w:ascii="Arial" w:eastAsia="Arial" w:hAnsi="Arial" w:cs="Arial"/>
          <w:b/>
          <w:sz w:val="22"/>
          <w:szCs w:val="22"/>
        </w:rPr>
        <w:t xml:space="preserve"> se trabaja</w:t>
      </w:r>
      <w:r w:rsidR="006B24D5">
        <w:rPr>
          <w:rFonts w:ascii="Arial" w:eastAsia="Arial" w:hAnsi="Arial" w:cs="Arial"/>
          <w:b/>
          <w:sz w:val="22"/>
          <w:szCs w:val="22"/>
        </w:rPr>
        <w:t>, mientras que el 32% lo hace en relación al dónde</w:t>
      </w:r>
      <w:r w:rsidR="00626782">
        <w:rPr>
          <w:rFonts w:ascii="Arial" w:eastAsia="Arial" w:hAnsi="Arial" w:cs="Arial"/>
          <w:bCs/>
          <w:sz w:val="22"/>
          <w:szCs w:val="22"/>
        </w:rPr>
        <w:t xml:space="preserve">. </w:t>
      </w:r>
      <w:r w:rsidR="00F7568F">
        <w:rPr>
          <w:rFonts w:ascii="Arial" w:eastAsia="Arial" w:hAnsi="Arial" w:cs="Arial"/>
          <w:bCs/>
          <w:sz w:val="22"/>
          <w:szCs w:val="22"/>
        </w:rPr>
        <w:t xml:space="preserve">También </w:t>
      </w:r>
      <w:r w:rsidR="00C84A6D">
        <w:rPr>
          <w:rFonts w:ascii="Arial" w:eastAsia="Arial" w:hAnsi="Arial" w:cs="Arial"/>
          <w:bCs/>
          <w:sz w:val="22"/>
          <w:szCs w:val="22"/>
        </w:rPr>
        <w:t xml:space="preserve">optan por </w:t>
      </w:r>
      <w:r w:rsidR="006B24D5">
        <w:rPr>
          <w:rFonts w:ascii="Arial" w:eastAsia="Arial" w:hAnsi="Arial" w:cs="Arial"/>
          <w:bCs/>
          <w:sz w:val="22"/>
          <w:szCs w:val="22"/>
        </w:rPr>
        <w:t xml:space="preserve">mantener perfiles valiosos, aunque no sean necesarios (26%) y </w:t>
      </w:r>
      <w:r w:rsidR="00F7568F">
        <w:rPr>
          <w:rFonts w:ascii="Arial" w:eastAsia="Arial" w:hAnsi="Arial" w:cs="Arial"/>
          <w:bCs/>
          <w:sz w:val="22"/>
          <w:szCs w:val="22"/>
        </w:rPr>
        <w:t>explotar nichos de talento infrautilizados, como los sénior (</w:t>
      </w:r>
      <w:r w:rsidR="006B24D5">
        <w:rPr>
          <w:rFonts w:ascii="Arial" w:eastAsia="Arial" w:hAnsi="Arial" w:cs="Arial"/>
          <w:bCs/>
          <w:sz w:val="22"/>
          <w:szCs w:val="22"/>
        </w:rPr>
        <w:t>25</w:t>
      </w:r>
      <w:r w:rsidR="00F7568F">
        <w:rPr>
          <w:rFonts w:ascii="Arial" w:eastAsia="Arial" w:hAnsi="Arial" w:cs="Arial"/>
          <w:bCs/>
          <w:sz w:val="22"/>
          <w:szCs w:val="22"/>
        </w:rPr>
        <w:t>%)</w:t>
      </w:r>
      <w:r w:rsidR="006B24D5">
        <w:rPr>
          <w:rFonts w:ascii="Arial" w:eastAsia="Arial" w:hAnsi="Arial" w:cs="Arial"/>
          <w:bCs/>
          <w:sz w:val="22"/>
          <w:szCs w:val="22"/>
        </w:rPr>
        <w:t>.</w:t>
      </w:r>
      <w:r w:rsidR="00F7568F">
        <w:rPr>
          <w:rFonts w:ascii="Arial" w:eastAsia="Arial" w:hAnsi="Arial" w:cs="Arial"/>
          <w:bCs/>
          <w:sz w:val="22"/>
          <w:szCs w:val="22"/>
        </w:rPr>
        <w:t xml:space="preserve"> </w:t>
      </w:r>
      <w:r w:rsidR="003E69CD">
        <w:rPr>
          <w:rFonts w:ascii="Arial" w:eastAsia="Arial" w:hAnsi="Arial" w:cs="Arial"/>
          <w:bCs/>
          <w:sz w:val="22"/>
          <w:szCs w:val="22"/>
        </w:rPr>
        <w:t xml:space="preserve">Flexibilizar los requisitos demandados (23%), </w:t>
      </w:r>
      <w:r w:rsidR="006B24D5">
        <w:rPr>
          <w:rFonts w:ascii="Arial" w:eastAsia="Arial" w:hAnsi="Arial" w:cs="Arial"/>
          <w:bCs/>
          <w:sz w:val="22"/>
          <w:szCs w:val="22"/>
        </w:rPr>
        <w:t xml:space="preserve">invertir en automación de tareas y procesos (22%), </w:t>
      </w:r>
      <w:r w:rsidR="003E69CD">
        <w:rPr>
          <w:rFonts w:ascii="Arial" w:eastAsia="Arial" w:hAnsi="Arial" w:cs="Arial"/>
          <w:bCs/>
          <w:sz w:val="22"/>
          <w:szCs w:val="22"/>
        </w:rPr>
        <w:t>incrementar los salarios</w:t>
      </w:r>
      <w:r w:rsidR="006B24D5">
        <w:rPr>
          <w:rFonts w:ascii="Arial" w:eastAsia="Arial" w:hAnsi="Arial" w:cs="Arial"/>
          <w:bCs/>
          <w:sz w:val="22"/>
          <w:szCs w:val="22"/>
        </w:rPr>
        <w:t xml:space="preserve"> (15%)</w:t>
      </w:r>
      <w:r w:rsidR="003E69CD">
        <w:rPr>
          <w:rFonts w:ascii="Arial" w:eastAsia="Arial" w:hAnsi="Arial" w:cs="Arial"/>
          <w:bCs/>
          <w:sz w:val="22"/>
          <w:szCs w:val="22"/>
        </w:rPr>
        <w:t xml:space="preserve"> o realizar contrataciones </w:t>
      </w:r>
      <w:r w:rsidR="003E69CD">
        <w:rPr>
          <w:rFonts w:ascii="Arial" w:eastAsia="Arial" w:hAnsi="Arial" w:cs="Arial"/>
          <w:bCs/>
          <w:sz w:val="22"/>
          <w:szCs w:val="22"/>
        </w:rPr>
        <w:lastRenderedPageBreak/>
        <w:t>internacionales</w:t>
      </w:r>
      <w:r w:rsidR="006B24D5">
        <w:rPr>
          <w:rFonts w:ascii="Arial" w:eastAsia="Arial" w:hAnsi="Arial" w:cs="Arial"/>
          <w:bCs/>
          <w:sz w:val="22"/>
          <w:szCs w:val="22"/>
        </w:rPr>
        <w:t xml:space="preserve"> y ofrecer </w:t>
      </w:r>
      <w:proofErr w:type="spellStart"/>
      <w:r w:rsidR="006B24D5" w:rsidRPr="006B24D5">
        <w:rPr>
          <w:rFonts w:ascii="Arial" w:eastAsia="Arial" w:hAnsi="Arial" w:cs="Arial"/>
          <w:bCs/>
          <w:i/>
          <w:iCs/>
          <w:sz w:val="22"/>
          <w:szCs w:val="22"/>
        </w:rPr>
        <w:t>signing</w:t>
      </w:r>
      <w:proofErr w:type="spellEnd"/>
      <w:r w:rsidR="006B24D5" w:rsidRPr="006B24D5">
        <w:rPr>
          <w:rFonts w:ascii="Arial" w:eastAsia="Arial" w:hAnsi="Arial" w:cs="Arial"/>
          <w:bCs/>
          <w:i/>
          <w:iCs/>
          <w:sz w:val="22"/>
          <w:szCs w:val="22"/>
        </w:rPr>
        <w:t xml:space="preserve"> bonus</w:t>
      </w:r>
      <w:r w:rsidR="003E69CD">
        <w:rPr>
          <w:rFonts w:ascii="Arial" w:eastAsia="Arial" w:hAnsi="Arial" w:cs="Arial"/>
          <w:bCs/>
          <w:sz w:val="22"/>
          <w:szCs w:val="22"/>
        </w:rPr>
        <w:t xml:space="preserve"> (ambos con un </w:t>
      </w:r>
      <w:r w:rsidR="006B24D5">
        <w:rPr>
          <w:rFonts w:ascii="Arial" w:eastAsia="Arial" w:hAnsi="Arial" w:cs="Arial"/>
          <w:bCs/>
          <w:sz w:val="22"/>
          <w:szCs w:val="22"/>
        </w:rPr>
        <w:t>12</w:t>
      </w:r>
      <w:r w:rsidR="003E69CD">
        <w:rPr>
          <w:rFonts w:ascii="Arial" w:eastAsia="Arial" w:hAnsi="Arial" w:cs="Arial"/>
          <w:bCs/>
          <w:sz w:val="22"/>
          <w:szCs w:val="22"/>
        </w:rPr>
        <w:t>%) son otras de las estrategias que se llevan a cabo por parte de las empresas para encontrar profesionales.</w:t>
      </w:r>
    </w:p>
    <w:p w14:paraId="532E2C02" w14:textId="77777777" w:rsidR="001B3EB7" w:rsidRDefault="001B3EB7" w:rsidP="00EC589F">
      <w:pPr>
        <w:spacing w:before="120" w:line="288" w:lineRule="auto"/>
        <w:jc w:val="center"/>
        <w:rPr>
          <w:rFonts w:ascii="Arial" w:eastAsia="Arial" w:hAnsi="Arial" w:cs="Arial"/>
          <w:bCs/>
          <w:i/>
          <w:iCs/>
          <w:sz w:val="18"/>
          <w:szCs w:val="18"/>
        </w:rPr>
      </w:pPr>
      <w:r w:rsidRPr="006B24D5">
        <w:rPr>
          <w:rFonts w:ascii="Arial" w:eastAsia="Arial" w:hAnsi="Arial" w:cs="Arial"/>
          <w:bCs/>
          <w:noProof/>
          <w:sz w:val="22"/>
          <w:szCs w:val="22"/>
        </w:rPr>
        <w:drawing>
          <wp:inline distT="0" distB="0" distL="0" distR="0" wp14:anchorId="6ADCF377" wp14:editId="39750043">
            <wp:extent cx="5189855" cy="2314575"/>
            <wp:effectExtent l="0" t="0" r="0" b="9525"/>
            <wp:docPr id="18390288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28813" name=""/>
                    <pic:cNvPicPr/>
                  </pic:nvPicPr>
                  <pic:blipFill>
                    <a:blip r:embed="rId9">
                      <a:extLst>
                        <a:ext uri="{28A0092B-C50C-407E-A947-70E740481C1C}">
                          <a14:useLocalDpi xmlns:a14="http://schemas.microsoft.com/office/drawing/2010/main" val="0"/>
                        </a:ext>
                      </a:extLst>
                    </a:blip>
                    <a:stretch>
                      <a:fillRect/>
                    </a:stretch>
                  </pic:blipFill>
                  <pic:spPr>
                    <a:xfrm>
                      <a:off x="0" y="0"/>
                      <a:ext cx="5189855" cy="2314575"/>
                    </a:xfrm>
                    <a:prstGeom prst="rect">
                      <a:avLst/>
                    </a:prstGeom>
                  </pic:spPr>
                </pic:pic>
              </a:graphicData>
            </a:graphic>
          </wp:inline>
        </w:drawing>
      </w:r>
    </w:p>
    <w:p w14:paraId="115D46EA" w14:textId="5897D0B2" w:rsidR="002E097D" w:rsidRDefault="002E097D" w:rsidP="00EC589F">
      <w:pPr>
        <w:spacing w:before="120" w:line="288" w:lineRule="auto"/>
        <w:jc w:val="center"/>
        <w:rPr>
          <w:rFonts w:ascii="Arial" w:eastAsia="Arial" w:hAnsi="Arial" w:cs="Arial"/>
          <w:b/>
          <w:sz w:val="18"/>
          <w:szCs w:val="18"/>
        </w:rPr>
      </w:pPr>
      <w:r>
        <w:rPr>
          <w:rFonts w:ascii="Arial" w:eastAsia="Arial" w:hAnsi="Arial" w:cs="Arial"/>
          <w:bCs/>
          <w:i/>
          <w:iCs/>
          <w:sz w:val="18"/>
          <w:szCs w:val="18"/>
        </w:rPr>
        <w:t>Estrategias de las empresas españolas para afrontar el desajuste de talento</w:t>
      </w:r>
    </w:p>
    <w:p w14:paraId="56DFE3FF" w14:textId="36FD7889" w:rsidR="001143D9" w:rsidRDefault="001143D9" w:rsidP="00EC589F">
      <w:pPr>
        <w:spacing w:before="120" w:line="288" w:lineRule="auto"/>
        <w:jc w:val="both"/>
        <w:rPr>
          <w:rFonts w:ascii="Arial" w:eastAsia="Arial" w:hAnsi="Arial" w:cs="Arial"/>
          <w:bCs/>
          <w:sz w:val="22"/>
          <w:szCs w:val="22"/>
        </w:rPr>
      </w:pPr>
    </w:p>
    <w:bookmarkEnd w:id="3"/>
    <w:p w14:paraId="4A3C796A" w14:textId="366D7536" w:rsidR="00731F03" w:rsidRDefault="001A2A76" w:rsidP="00EC589F">
      <w:pPr>
        <w:spacing w:before="120" w:line="288" w:lineRule="auto"/>
        <w:jc w:val="both"/>
        <w:rPr>
          <w:rStyle w:val="Hipervnculo"/>
          <w:rFonts w:ascii="Arial" w:hAnsi="Arial" w:cs="Arial"/>
          <w:bCs/>
          <w:sz w:val="16"/>
          <w:szCs w:val="16"/>
        </w:rPr>
      </w:pPr>
      <w:r w:rsidRPr="00687087">
        <w:rPr>
          <w:rFonts w:ascii="Arial" w:hAnsi="Arial" w:cs="Arial"/>
          <w:bCs/>
          <w:sz w:val="18"/>
          <w:szCs w:val="18"/>
        </w:rPr>
        <w:t>Más información en</w:t>
      </w:r>
      <w:bookmarkStart w:id="7" w:name="_Hlk90222956"/>
      <w:bookmarkStart w:id="8" w:name="_Hlk90207554"/>
      <w:bookmarkEnd w:id="4"/>
      <w:bookmarkEnd w:id="5"/>
      <w:bookmarkEnd w:id="6"/>
      <w:r w:rsidR="001143D9">
        <w:rPr>
          <w:rFonts w:ascii="Arial" w:hAnsi="Arial" w:cs="Arial"/>
          <w:bCs/>
          <w:sz w:val="18"/>
          <w:szCs w:val="18"/>
        </w:rPr>
        <w:t xml:space="preserve">: </w:t>
      </w:r>
      <w:hyperlink r:id="rId10" w:history="1">
        <w:r w:rsidR="00205AA5" w:rsidRPr="00BB4980">
          <w:rPr>
            <w:rStyle w:val="Hipervnculo"/>
            <w:rFonts w:ascii="Arial" w:hAnsi="Arial" w:cs="Arial"/>
            <w:bCs/>
            <w:sz w:val="18"/>
            <w:szCs w:val="18"/>
          </w:rPr>
          <w:t>https://www.manpowergroup.es/estudios/el-desajuste-de-talento-muestra-por-fin-un-leve-descenso-tras-10-anos-creciendo</w:t>
        </w:r>
      </w:hyperlink>
    </w:p>
    <w:p w14:paraId="0C1619EF" w14:textId="5FBF556A" w:rsidR="001143D9" w:rsidRDefault="001143D9" w:rsidP="00511BED">
      <w:pPr>
        <w:spacing w:line="276" w:lineRule="auto"/>
        <w:jc w:val="both"/>
        <w:rPr>
          <w:rFonts w:ascii="Arial" w:hAnsi="Arial" w:cs="Arial"/>
          <w:bCs/>
          <w:sz w:val="16"/>
          <w:szCs w:val="16"/>
        </w:rPr>
      </w:pPr>
    </w:p>
    <w:p w14:paraId="4A3CA943" w14:textId="14363C72" w:rsidR="007001B9" w:rsidRDefault="007001B9" w:rsidP="00511BED">
      <w:pPr>
        <w:spacing w:line="276" w:lineRule="auto"/>
        <w:jc w:val="both"/>
        <w:rPr>
          <w:rFonts w:ascii="Arial" w:hAnsi="Arial" w:cs="Arial"/>
          <w:bCs/>
          <w:sz w:val="16"/>
          <w:szCs w:val="16"/>
        </w:rPr>
      </w:pPr>
    </w:p>
    <w:p w14:paraId="7FB9915D" w14:textId="77777777" w:rsidR="007001B9" w:rsidRDefault="007001B9" w:rsidP="00511BED">
      <w:pPr>
        <w:spacing w:line="276" w:lineRule="auto"/>
        <w:jc w:val="both"/>
        <w:rPr>
          <w:rFonts w:ascii="Arial" w:hAnsi="Arial" w:cs="Arial"/>
          <w:bCs/>
          <w:sz w:val="16"/>
          <w:szCs w:val="16"/>
        </w:rPr>
      </w:pPr>
    </w:p>
    <w:p w14:paraId="52619A5F" w14:textId="77777777" w:rsidR="00205AA5" w:rsidRPr="0078311E" w:rsidRDefault="00205AA5" w:rsidP="00205AA5">
      <w:pPr>
        <w:jc w:val="both"/>
        <w:rPr>
          <w:rFonts w:ascii="Arial" w:hAnsi="Arial" w:cs="Arial"/>
          <w:sz w:val="16"/>
          <w:szCs w:val="16"/>
        </w:rPr>
      </w:pPr>
      <w:r w:rsidRPr="0078311E">
        <w:rPr>
          <w:rFonts w:ascii="Arial" w:hAnsi="Arial" w:cs="Arial"/>
          <w:b/>
          <w:bCs/>
          <w:sz w:val="16"/>
          <w:szCs w:val="16"/>
        </w:rPr>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56C08BB" w14:textId="77777777" w:rsidR="00205AA5" w:rsidRPr="0078311E" w:rsidRDefault="00205AA5" w:rsidP="00205AA5">
      <w:pPr>
        <w:jc w:val="both"/>
        <w:rPr>
          <w:rFonts w:ascii="Arial" w:hAnsi="Arial" w:cs="Arial"/>
          <w:sz w:val="16"/>
          <w:szCs w:val="16"/>
        </w:rPr>
      </w:pPr>
      <w:r w:rsidRPr="0078311E">
        <w:rPr>
          <w:rFonts w:ascii="Arial" w:hAnsi="Arial" w:cs="Arial"/>
          <w:sz w:val="16"/>
          <w:szCs w:val="16"/>
        </w:rPr>
        <w:t xml:space="preserve">Más información en </w:t>
      </w:r>
      <w:hyperlink r:id="rId11"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189C51A7" w14:textId="77777777" w:rsidR="001143D9" w:rsidRDefault="001143D9" w:rsidP="00511BED">
      <w:pPr>
        <w:spacing w:line="276" w:lineRule="auto"/>
        <w:jc w:val="both"/>
        <w:rPr>
          <w:rFonts w:ascii="Arial" w:hAnsi="Arial" w:cs="Arial"/>
          <w:bCs/>
          <w:sz w:val="18"/>
          <w:szCs w:val="18"/>
        </w:rPr>
      </w:pPr>
    </w:p>
    <w:bookmarkEnd w:id="7"/>
    <w:bookmarkEnd w:id="8"/>
    <w:p w14:paraId="62AF73B0" w14:textId="77777777" w:rsidR="003E69CD" w:rsidRDefault="003E69CD" w:rsidP="003E69CD">
      <w:pPr>
        <w:tabs>
          <w:tab w:val="right" w:pos="8838"/>
        </w:tabs>
        <w:autoSpaceDE w:val="0"/>
        <w:autoSpaceDN w:val="0"/>
        <w:adjustRightInd w:val="0"/>
        <w:jc w:val="both"/>
        <w:rPr>
          <w:rFonts w:ascii="Arial" w:hAnsi="Arial" w:cs="Arial"/>
          <w:b/>
          <w:bCs/>
          <w:sz w:val="16"/>
          <w:szCs w:val="16"/>
        </w:rPr>
      </w:pPr>
    </w:p>
    <w:p w14:paraId="7FF609C4" w14:textId="77777777" w:rsidR="003E69CD" w:rsidRDefault="003E69CD" w:rsidP="003E69CD">
      <w:pPr>
        <w:tabs>
          <w:tab w:val="right" w:pos="8838"/>
        </w:tabs>
        <w:autoSpaceDE w:val="0"/>
        <w:autoSpaceDN w:val="0"/>
        <w:adjustRightInd w:val="0"/>
        <w:jc w:val="both"/>
        <w:rPr>
          <w:rFonts w:ascii="Arial" w:eastAsia="Times New Roman"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3E69CD" w14:paraId="78EC4CEB" w14:textId="77777777" w:rsidTr="003E69CD">
        <w:trPr>
          <w:trHeight w:val="1159"/>
        </w:trPr>
        <w:tc>
          <w:tcPr>
            <w:tcW w:w="2943" w:type="dxa"/>
          </w:tcPr>
          <w:p w14:paraId="1CE19473" w14:textId="77777777" w:rsidR="003E69CD" w:rsidRDefault="003E69CD">
            <w:pPr>
              <w:pStyle w:val="NormalWeb"/>
              <w:spacing w:before="0" w:beforeAutospacing="0" w:after="0" w:afterAutospacing="0" w:line="254" w:lineRule="auto"/>
              <w:jc w:val="both"/>
              <w:rPr>
                <w:rStyle w:val="Hipervnculo"/>
                <w:rFonts w:ascii="Arial" w:hAnsi="Arial" w:cs="Arial"/>
                <w:lang w:eastAsia="en-US"/>
              </w:rPr>
            </w:pPr>
            <w:bookmarkStart w:id="9" w:name="_Hlk90207537"/>
            <w:r>
              <w:rPr>
                <w:rFonts w:ascii="Arial" w:hAnsi="Arial" w:cs="Arial"/>
                <w:color w:val="000000"/>
                <w:sz w:val="16"/>
                <w:szCs w:val="16"/>
                <w:u w:val="single"/>
                <w:lang w:eastAsia="en-US"/>
              </w:rPr>
              <w:t>Agencia de comunicación Indie PR</w:t>
            </w:r>
          </w:p>
          <w:p w14:paraId="1508B727" w14:textId="77777777" w:rsidR="003E69CD" w:rsidRDefault="003E69CD">
            <w:pPr>
              <w:pStyle w:val="NormalWeb"/>
              <w:spacing w:before="0" w:beforeAutospacing="0" w:after="0" w:afterAutospacing="0" w:line="254" w:lineRule="auto"/>
              <w:jc w:val="both"/>
            </w:pPr>
            <w:r>
              <w:rPr>
                <w:rFonts w:ascii="Arial" w:hAnsi="Arial" w:cs="Arial"/>
                <w:b/>
                <w:bCs/>
                <w:color w:val="000000"/>
                <w:sz w:val="16"/>
                <w:szCs w:val="16"/>
                <w:lang w:eastAsia="en-US"/>
              </w:rPr>
              <w:t>Cristina Villanueva</w:t>
            </w:r>
          </w:p>
          <w:p w14:paraId="0A670F90" w14:textId="77777777" w:rsidR="003E69CD" w:rsidRDefault="003E69CD">
            <w:pPr>
              <w:pStyle w:val="NormalWeb"/>
              <w:spacing w:before="0" w:beforeAutospacing="0" w:after="0" w:afterAutospacing="0" w:line="254"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2ECCCA3A" w14:textId="77777777" w:rsidR="003E69CD" w:rsidRPr="003E69CD" w:rsidRDefault="00A85D3B">
            <w:pPr>
              <w:pStyle w:val="NormalWeb"/>
              <w:spacing w:before="0" w:beforeAutospacing="0" w:after="0" w:afterAutospacing="0" w:line="254" w:lineRule="auto"/>
              <w:rPr>
                <w:rStyle w:val="Hipervnculo"/>
                <w:rFonts w:ascii="Arial" w:hAnsi="Arial" w:cs="Arial"/>
                <w:color w:val="1155CC"/>
                <w:lang w:val="it-IT"/>
              </w:rPr>
            </w:pPr>
            <w:hyperlink r:id="rId12" w:history="1">
              <w:r w:rsidR="003E69CD">
                <w:rPr>
                  <w:rStyle w:val="Hipervnculo"/>
                  <w:rFonts w:ascii="Arial" w:hAnsi="Arial" w:cs="Arial"/>
                  <w:sz w:val="16"/>
                  <w:szCs w:val="16"/>
                  <w:lang w:val="it-IT" w:eastAsia="en-US"/>
                </w:rPr>
                <w:t>cristina@indiepr.es</w:t>
              </w:r>
            </w:hyperlink>
          </w:p>
          <w:p w14:paraId="0176CE6B" w14:textId="77777777" w:rsidR="003E69CD" w:rsidRDefault="003E69CD">
            <w:pPr>
              <w:pStyle w:val="NormalWeb"/>
              <w:spacing w:before="0" w:beforeAutospacing="0" w:after="0" w:afterAutospacing="0" w:line="254" w:lineRule="auto"/>
              <w:jc w:val="both"/>
              <w:rPr>
                <w:rStyle w:val="Hipervnculo"/>
                <w:rFonts w:ascii="Arial" w:hAnsi="Arial" w:cs="Arial"/>
                <w:color w:val="1155CC"/>
                <w:sz w:val="16"/>
                <w:szCs w:val="16"/>
                <w:lang w:val="it-IT" w:eastAsia="en-US"/>
              </w:rPr>
            </w:pPr>
          </w:p>
          <w:p w14:paraId="45D98CF4" w14:textId="77777777" w:rsidR="003E69CD" w:rsidRPr="003E69CD" w:rsidRDefault="003E69CD">
            <w:pPr>
              <w:pStyle w:val="NormalWeb"/>
              <w:spacing w:before="0" w:beforeAutospacing="0" w:after="0" w:afterAutospacing="0" w:line="254" w:lineRule="auto"/>
              <w:jc w:val="both"/>
              <w:rPr>
                <w:lang w:val="it-IT"/>
              </w:rPr>
            </w:pPr>
            <w:r>
              <w:rPr>
                <w:rFonts w:ascii="Arial" w:hAnsi="Arial" w:cs="Arial"/>
                <w:b/>
                <w:bCs/>
                <w:color w:val="000000"/>
                <w:sz w:val="16"/>
                <w:szCs w:val="16"/>
                <w:lang w:val="it-IT" w:eastAsia="en-US"/>
              </w:rPr>
              <w:t>Carmen Polo</w:t>
            </w:r>
          </w:p>
          <w:p w14:paraId="46013B51" w14:textId="77777777" w:rsidR="003E69CD" w:rsidRDefault="003E69CD">
            <w:pPr>
              <w:pStyle w:val="NormalWeb"/>
              <w:spacing w:before="0" w:beforeAutospacing="0" w:after="0" w:afterAutospacing="0" w:line="254"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384D6D17" w14:textId="77777777" w:rsidR="003E69CD" w:rsidRDefault="00A85D3B">
            <w:pPr>
              <w:spacing w:line="254" w:lineRule="auto"/>
              <w:jc w:val="both"/>
              <w:outlineLvl w:val="0"/>
              <w:rPr>
                <w:rFonts w:ascii="Arial" w:hAnsi="Arial" w:cs="Arial"/>
                <w:b/>
                <w:sz w:val="16"/>
                <w:szCs w:val="16"/>
                <w:lang w:val="ca-ES" w:eastAsia="en-US"/>
              </w:rPr>
            </w:pPr>
            <w:hyperlink r:id="rId13" w:history="1">
              <w:r w:rsidR="003E69CD">
                <w:rPr>
                  <w:rStyle w:val="Hipervnculo"/>
                  <w:rFonts w:ascii="Arial" w:hAnsi="Arial" w:cs="Arial"/>
                  <w:sz w:val="16"/>
                  <w:szCs w:val="16"/>
                  <w:lang w:val="it-IT" w:eastAsia="en-US"/>
                </w:rPr>
                <w:t>cpolo@indiepr.es</w:t>
              </w:r>
            </w:hyperlink>
          </w:p>
        </w:tc>
        <w:tc>
          <w:tcPr>
            <w:tcW w:w="2977" w:type="dxa"/>
          </w:tcPr>
          <w:p w14:paraId="0D5EDCF5" w14:textId="77777777" w:rsidR="003E69CD" w:rsidRDefault="003E69CD">
            <w:pPr>
              <w:spacing w:line="254" w:lineRule="auto"/>
              <w:jc w:val="both"/>
              <w:rPr>
                <w:rFonts w:ascii="Arial" w:hAnsi="Arial" w:cs="Arial"/>
                <w:sz w:val="16"/>
                <w:szCs w:val="16"/>
                <w:lang w:val="ca-ES" w:eastAsia="en-US"/>
              </w:rPr>
            </w:pPr>
          </w:p>
        </w:tc>
        <w:tc>
          <w:tcPr>
            <w:tcW w:w="3028" w:type="dxa"/>
            <w:hideMark/>
          </w:tcPr>
          <w:p w14:paraId="0B4F4F11" w14:textId="77777777" w:rsidR="003E69CD" w:rsidRDefault="003E69CD">
            <w:pPr>
              <w:spacing w:line="254"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7C98EB28" w14:textId="77777777" w:rsidR="003E69CD" w:rsidRDefault="003E69CD">
            <w:pPr>
              <w:spacing w:line="254"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11824F47" w14:textId="77777777" w:rsidR="003E69CD" w:rsidRDefault="003E69CD">
            <w:pPr>
              <w:spacing w:line="254" w:lineRule="auto"/>
              <w:jc w:val="both"/>
              <w:rPr>
                <w:rFonts w:ascii="Arial" w:hAnsi="Arial" w:cs="Arial"/>
                <w:sz w:val="16"/>
                <w:szCs w:val="16"/>
                <w:lang w:eastAsia="en-US"/>
              </w:rPr>
            </w:pPr>
            <w:r>
              <w:rPr>
                <w:rFonts w:ascii="Arial" w:hAnsi="Arial" w:cs="Arial"/>
                <w:sz w:val="16"/>
                <w:szCs w:val="16"/>
                <w:lang w:eastAsia="en-US"/>
              </w:rPr>
              <w:t>Juan Gómez Rodríguez</w:t>
            </w:r>
          </w:p>
          <w:p w14:paraId="4F280014" w14:textId="77777777" w:rsidR="003E69CD" w:rsidRDefault="003E69CD">
            <w:pPr>
              <w:spacing w:line="254"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4C97DC53" w14:textId="77777777" w:rsidR="003E69CD" w:rsidRDefault="00A85D3B">
            <w:pPr>
              <w:spacing w:line="254" w:lineRule="auto"/>
              <w:jc w:val="both"/>
              <w:rPr>
                <w:rFonts w:ascii="Arial" w:hAnsi="Arial" w:cs="Arial"/>
                <w:sz w:val="16"/>
                <w:szCs w:val="16"/>
                <w:lang w:val="de-DE" w:eastAsia="en-US"/>
              </w:rPr>
            </w:pPr>
            <w:hyperlink r:id="rId14" w:history="1">
              <w:r w:rsidR="003E69CD">
                <w:rPr>
                  <w:rStyle w:val="Hipervnculo"/>
                  <w:rFonts w:ascii="Arial" w:hAnsi="Arial" w:cs="Arial"/>
                  <w:sz w:val="16"/>
                  <w:szCs w:val="16"/>
                  <w:lang w:val="de-DE" w:eastAsia="en-US"/>
                </w:rPr>
                <w:t>juan.gomez@manpowergroup.es</w:t>
              </w:r>
            </w:hyperlink>
          </w:p>
        </w:tc>
      </w:tr>
      <w:bookmarkEnd w:id="9"/>
    </w:tbl>
    <w:p w14:paraId="1C4FBB60" w14:textId="77777777" w:rsidR="003E69CD" w:rsidRDefault="003E69CD" w:rsidP="001B3EB7">
      <w:pPr>
        <w:tabs>
          <w:tab w:val="right" w:pos="8838"/>
        </w:tabs>
        <w:autoSpaceDE w:val="0"/>
        <w:autoSpaceDN w:val="0"/>
        <w:adjustRightInd w:val="0"/>
        <w:jc w:val="both"/>
        <w:rPr>
          <w:rFonts w:ascii="Arial" w:eastAsia="Arial" w:hAnsi="Arial" w:cs="Arial"/>
          <w:b/>
          <w:color w:val="0000FF"/>
          <w:sz w:val="16"/>
          <w:szCs w:val="16"/>
          <w:u w:val="single"/>
          <w:lang w:val="fr-FR"/>
        </w:rPr>
      </w:pPr>
    </w:p>
    <w:sectPr w:rsidR="003E69CD" w:rsidSect="00753BAE">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9188" w14:textId="77777777" w:rsidR="00753BAE" w:rsidRDefault="00753BAE">
      <w:r>
        <w:separator/>
      </w:r>
    </w:p>
  </w:endnote>
  <w:endnote w:type="continuationSeparator" w:id="0">
    <w:p w14:paraId="627D57A3" w14:textId="77777777" w:rsidR="00753BAE" w:rsidRDefault="0075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8A149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8A149B" w:rsidRDefault="008A149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8A149B" w:rsidRDefault="008A149B" w:rsidP="006479E0">
    <w:pPr>
      <w:pStyle w:val="Piedepgina"/>
      <w:ind w:right="360"/>
    </w:pPr>
  </w:p>
  <w:p w14:paraId="23873518" w14:textId="77777777" w:rsidR="008A149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78A2" w14:textId="77777777" w:rsidR="00753BAE" w:rsidRDefault="00753BAE">
      <w:r>
        <w:separator/>
      </w:r>
    </w:p>
  </w:footnote>
  <w:footnote w:type="continuationSeparator" w:id="0">
    <w:p w14:paraId="245F62BA" w14:textId="77777777" w:rsidR="00753BAE" w:rsidRDefault="0075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8A149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2083"/>
    <w:rsid w:val="00063579"/>
    <w:rsid w:val="00066C14"/>
    <w:rsid w:val="000869A2"/>
    <w:rsid w:val="0008777D"/>
    <w:rsid w:val="00095B8E"/>
    <w:rsid w:val="000A1973"/>
    <w:rsid w:val="000A2B1E"/>
    <w:rsid w:val="000D2B5A"/>
    <w:rsid w:val="000E71B3"/>
    <w:rsid w:val="0011037D"/>
    <w:rsid w:val="001143D9"/>
    <w:rsid w:val="0012170F"/>
    <w:rsid w:val="00123250"/>
    <w:rsid w:val="00124DEA"/>
    <w:rsid w:val="001324E2"/>
    <w:rsid w:val="00137C4E"/>
    <w:rsid w:val="001446D4"/>
    <w:rsid w:val="00157558"/>
    <w:rsid w:val="00176074"/>
    <w:rsid w:val="00181155"/>
    <w:rsid w:val="0018572B"/>
    <w:rsid w:val="00196036"/>
    <w:rsid w:val="001A2A76"/>
    <w:rsid w:val="001B39AD"/>
    <w:rsid w:val="001B3EB7"/>
    <w:rsid w:val="001C22CD"/>
    <w:rsid w:val="001D539A"/>
    <w:rsid w:val="001E6BC8"/>
    <w:rsid w:val="002059D2"/>
    <w:rsid w:val="00205AA5"/>
    <w:rsid w:val="00212129"/>
    <w:rsid w:val="002246BA"/>
    <w:rsid w:val="002331A8"/>
    <w:rsid w:val="0024317A"/>
    <w:rsid w:val="002432D4"/>
    <w:rsid w:val="0025100E"/>
    <w:rsid w:val="002759C4"/>
    <w:rsid w:val="00275B27"/>
    <w:rsid w:val="002873A6"/>
    <w:rsid w:val="00294475"/>
    <w:rsid w:val="002A3D92"/>
    <w:rsid w:val="002B3F52"/>
    <w:rsid w:val="002B461A"/>
    <w:rsid w:val="002C02D9"/>
    <w:rsid w:val="002D032D"/>
    <w:rsid w:val="002E097D"/>
    <w:rsid w:val="002F04D0"/>
    <w:rsid w:val="003019C9"/>
    <w:rsid w:val="00302E34"/>
    <w:rsid w:val="0032424C"/>
    <w:rsid w:val="00326125"/>
    <w:rsid w:val="00332D02"/>
    <w:rsid w:val="00337FD2"/>
    <w:rsid w:val="00344595"/>
    <w:rsid w:val="00346E05"/>
    <w:rsid w:val="003470C8"/>
    <w:rsid w:val="003509A5"/>
    <w:rsid w:val="00366A97"/>
    <w:rsid w:val="00382C07"/>
    <w:rsid w:val="00383F58"/>
    <w:rsid w:val="003A214F"/>
    <w:rsid w:val="003A2B29"/>
    <w:rsid w:val="003A38B1"/>
    <w:rsid w:val="003B2D85"/>
    <w:rsid w:val="003C5FF2"/>
    <w:rsid w:val="003D0E85"/>
    <w:rsid w:val="003D4F9E"/>
    <w:rsid w:val="003D7735"/>
    <w:rsid w:val="003E58E4"/>
    <w:rsid w:val="003E69CD"/>
    <w:rsid w:val="003E70B2"/>
    <w:rsid w:val="003F4030"/>
    <w:rsid w:val="00407AD8"/>
    <w:rsid w:val="004162DB"/>
    <w:rsid w:val="004165D6"/>
    <w:rsid w:val="0044035B"/>
    <w:rsid w:val="00441AA5"/>
    <w:rsid w:val="0045661F"/>
    <w:rsid w:val="004612C2"/>
    <w:rsid w:val="00492F25"/>
    <w:rsid w:val="00497689"/>
    <w:rsid w:val="004C0F40"/>
    <w:rsid w:val="004C607E"/>
    <w:rsid w:val="004D1FAF"/>
    <w:rsid w:val="004D696E"/>
    <w:rsid w:val="004E23C4"/>
    <w:rsid w:val="004F67EC"/>
    <w:rsid w:val="00511BED"/>
    <w:rsid w:val="00512001"/>
    <w:rsid w:val="005201CA"/>
    <w:rsid w:val="00540FAE"/>
    <w:rsid w:val="00541A7B"/>
    <w:rsid w:val="00561B53"/>
    <w:rsid w:val="0057357A"/>
    <w:rsid w:val="00575C42"/>
    <w:rsid w:val="00576DDF"/>
    <w:rsid w:val="00577B92"/>
    <w:rsid w:val="005939CD"/>
    <w:rsid w:val="005A2D76"/>
    <w:rsid w:val="005A7DB1"/>
    <w:rsid w:val="005A7E9C"/>
    <w:rsid w:val="005C33ED"/>
    <w:rsid w:val="005D1AE9"/>
    <w:rsid w:val="005D5DC2"/>
    <w:rsid w:val="005E4173"/>
    <w:rsid w:val="005E57AC"/>
    <w:rsid w:val="005F1509"/>
    <w:rsid w:val="005F1CEB"/>
    <w:rsid w:val="006003D2"/>
    <w:rsid w:val="0062543B"/>
    <w:rsid w:val="00626782"/>
    <w:rsid w:val="00636A81"/>
    <w:rsid w:val="0064466A"/>
    <w:rsid w:val="006515B4"/>
    <w:rsid w:val="00652342"/>
    <w:rsid w:val="006536BD"/>
    <w:rsid w:val="00687087"/>
    <w:rsid w:val="00694B11"/>
    <w:rsid w:val="006972C0"/>
    <w:rsid w:val="006A7F27"/>
    <w:rsid w:val="006B24D5"/>
    <w:rsid w:val="006B6CC7"/>
    <w:rsid w:val="006E0862"/>
    <w:rsid w:val="006E5208"/>
    <w:rsid w:val="007001B9"/>
    <w:rsid w:val="0072269E"/>
    <w:rsid w:val="00727A57"/>
    <w:rsid w:val="007309F5"/>
    <w:rsid w:val="00731F03"/>
    <w:rsid w:val="00741B87"/>
    <w:rsid w:val="00741C49"/>
    <w:rsid w:val="00753BAE"/>
    <w:rsid w:val="0076028E"/>
    <w:rsid w:val="00787041"/>
    <w:rsid w:val="00795548"/>
    <w:rsid w:val="007A0082"/>
    <w:rsid w:val="007A74B1"/>
    <w:rsid w:val="007B59D1"/>
    <w:rsid w:val="007B679F"/>
    <w:rsid w:val="007B752D"/>
    <w:rsid w:val="007E34BF"/>
    <w:rsid w:val="00801C70"/>
    <w:rsid w:val="00810C20"/>
    <w:rsid w:val="00825CE9"/>
    <w:rsid w:val="00836F8E"/>
    <w:rsid w:val="008405EA"/>
    <w:rsid w:val="00841381"/>
    <w:rsid w:val="00853C2E"/>
    <w:rsid w:val="00857C81"/>
    <w:rsid w:val="008700A2"/>
    <w:rsid w:val="008764B5"/>
    <w:rsid w:val="00882FCB"/>
    <w:rsid w:val="0088444F"/>
    <w:rsid w:val="00885750"/>
    <w:rsid w:val="00886F0C"/>
    <w:rsid w:val="0089190E"/>
    <w:rsid w:val="008A149B"/>
    <w:rsid w:val="008A4224"/>
    <w:rsid w:val="008B155B"/>
    <w:rsid w:val="008C0114"/>
    <w:rsid w:val="008C5AB0"/>
    <w:rsid w:val="008D3B62"/>
    <w:rsid w:val="008E54AD"/>
    <w:rsid w:val="008E730B"/>
    <w:rsid w:val="008F1BD7"/>
    <w:rsid w:val="008F79C1"/>
    <w:rsid w:val="00925A0E"/>
    <w:rsid w:val="00927308"/>
    <w:rsid w:val="00932CB7"/>
    <w:rsid w:val="0093382A"/>
    <w:rsid w:val="00942998"/>
    <w:rsid w:val="009436E0"/>
    <w:rsid w:val="009645EE"/>
    <w:rsid w:val="0097553E"/>
    <w:rsid w:val="00977BE7"/>
    <w:rsid w:val="009803B8"/>
    <w:rsid w:val="00981941"/>
    <w:rsid w:val="00991A90"/>
    <w:rsid w:val="009A0E87"/>
    <w:rsid w:val="009A1EB0"/>
    <w:rsid w:val="009A3526"/>
    <w:rsid w:val="009A6F8A"/>
    <w:rsid w:val="009C2675"/>
    <w:rsid w:val="009D1DC0"/>
    <w:rsid w:val="009D3CF7"/>
    <w:rsid w:val="009F01EA"/>
    <w:rsid w:val="009F7DB9"/>
    <w:rsid w:val="009F7E1C"/>
    <w:rsid w:val="00A02C34"/>
    <w:rsid w:val="00A41710"/>
    <w:rsid w:val="00A50B4D"/>
    <w:rsid w:val="00A52E71"/>
    <w:rsid w:val="00A56426"/>
    <w:rsid w:val="00A574BF"/>
    <w:rsid w:val="00A7208B"/>
    <w:rsid w:val="00A761DD"/>
    <w:rsid w:val="00A81170"/>
    <w:rsid w:val="00A85D3B"/>
    <w:rsid w:val="00A87364"/>
    <w:rsid w:val="00AA4485"/>
    <w:rsid w:val="00AB24A2"/>
    <w:rsid w:val="00AB2FDB"/>
    <w:rsid w:val="00AE602A"/>
    <w:rsid w:val="00AF11D7"/>
    <w:rsid w:val="00AF1DB7"/>
    <w:rsid w:val="00AF735D"/>
    <w:rsid w:val="00B05CD9"/>
    <w:rsid w:val="00B05D48"/>
    <w:rsid w:val="00B116AF"/>
    <w:rsid w:val="00B179B5"/>
    <w:rsid w:val="00B22902"/>
    <w:rsid w:val="00B30149"/>
    <w:rsid w:val="00B32DA9"/>
    <w:rsid w:val="00B5158D"/>
    <w:rsid w:val="00B628EE"/>
    <w:rsid w:val="00B8069B"/>
    <w:rsid w:val="00B963D0"/>
    <w:rsid w:val="00BB1160"/>
    <w:rsid w:val="00BB39D9"/>
    <w:rsid w:val="00BC45B7"/>
    <w:rsid w:val="00BC46BE"/>
    <w:rsid w:val="00BE22AA"/>
    <w:rsid w:val="00BF2547"/>
    <w:rsid w:val="00BF5E11"/>
    <w:rsid w:val="00C07E47"/>
    <w:rsid w:val="00C178DC"/>
    <w:rsid w:val="00C33B3F"/>
    <w:rsid w:val="00C536C9"/>
    <w:rsid w:val="00C61314"/>
    <w:rsid w:val="00C7314E"/>
    <w:rsid w:val="00C73CB1"/>
    <w:rsid w:val="00C77147"/>
    <w:rsid w:val="00C83097"/>
    <w:rsid w:val="00C84A6D"/>
    <w:rsid w:val="00C91CCE"/>
    <w:rsid w:val="00C926CF"/>
    <w:rsid w:val="00C96A22"/>
    <w:rsid w:val="00C97060"/>
    <w:rsid w:val="00CA0905"/>
    <w:rsid w:val="00CB3370"/>
    <w:rsid w:val="00CF74FF"/>
    <w:rsid w:val="00D02D48"/>
    <w:rsid w:val="00D27B5C"/>
    <w:rsid w:val="00D318E9"/>
    <w:rsid w:val="00D3571D"/>
    <w:rsid w:val="00D63AB2"/>
    <w:rsid w:val="00D63F16"/>
    <w:rsid w:val="00D64482"/>
    <w:rsid w:val="00D73905"/>
    <w:rsid w:val="00D7641E"/>
    <w:rsid w:val="00D90EF8"/>
    <w:rsid w:val="00D91D62"/>
    <w:rsid w:val="00D92B75"/>
    <w:rsid w:val="00DB0F1B"/>
    <w:rsid w:val="00DB45BA"/>
    <w:rsid w:val="00DB5EEF"/>
    <w:rsid w:val="00DB6C09"/>
    <w:rsid w:val="00DC304A"/>
    <w:rsid w:val="00DC44E4"/>
    <w:rsid w:val="00DC6709"/>
    <w:rsid w:val="00DC7FEF"/>
    <w:rsid w:val="00DD53A1"/>
    <w:rsid w:val="00DE6E5E"/>
    <w:rsid w:val="00DF4C04"/>
    <w:rsid w:val="00E03248"/>
    <w:rsid w:val="00E10601"/>
    <w:rsid w:val="00E10CF2"/>
    <w:rsid w:val="00E13BED"/>
    <w:rsid w:val="00E14B59"/>
    <w:rsid w:val="00E235D3"/>
    <w:rsid w:val="00E375F1"/>
    <w:rsid w:val="00E66280"/>
    <w:rsid w:val="00E675C5"/>
    <w:rsid w:val="00E845CF"/>
    <w:rsid w:val="00E91772"/>
    <w:rsid w:val="00EA1285"/>
    <w:rsid w:val="00EA7C7E"/>
    <w:rsid w:val="00EC589F"/>
    <w:rsid w:val="00ED0522"/>
    <w:rsid w:val="00ED4D55"/>
    <w:rsid w:val="00ED788C"/>
    <w:rsid w:val="00F00E57"/>
    <w:rsid w:val="00F03D39"/>
    <w:rsid w:val="00F0652C"/>
    <w:rsid w:val="00F0730E"/>
    <w:rsid w:val="00F12F38"/>
    <w:rsid w:val="00F22A6E"/>
    <w:rsid w:val="00F24D52"/>
    <w:rsid w:val="00F34988"/>
    <w:rsid w:val="00F45079"/>
    <w:rsid w:val="00F45C5A"/>
    <w:rsid w:val="00F5395E"/>
    <w:rsid w:val="00F5559A"/>
    <w:rsid w:val="00F72967"/>
    <w:rsid w:val="00F73A73"/>
    <w:rsid w:val="00F7568F"/>
    <w:rsid w:val="00F93A2E"/>
    <w:rsid w:val="00F95E09"/>
    <w:rsid w:val="00FB561C"/>
    <w:rsid w:val="00FC3937"/>
    <w:rsid w:val="00FC75DE"/>
    <w:rsid w:val="00FC7D4B"/>
    <w:rsid w:val="00FD3887"/>
    <w:rsid w:val="00FE1AF6"/>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97D"/>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630756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74783136">
      <w:bodyDiv w:val="1"/>
      <w:marLeft w:val="0"/>
      <w:marRight w:val="0"/>
      <w:marTop w:val="0"/>
      <w:marBottom w:val="0"/>
      <w:divBdr>
        <w:top w:val="none" w:sz="0" w:space="0" w:color="auto"/>
        <w:left w:val="none" w:sz="0" w:space="0" w:color="auto"/>
        <w:bottom w:val="none" w:sz="0" w:space="0" w:color="auto"/>
        <w:right w:val="none" w:sz="0" w:space="0" w:color="auto"/>
      </w:divBdr>
    </w:div>
    <w:div w:id="60438565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0731930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031963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59991836">
      <w:bodyDiv w:val="1"/>
      <w:marLeft w:val="0"/>
      <w:marRight w:val="0"/>
      <w:marTop w:val="0"/>
      <w:marBottom w:val="0"/>
      <w:divBdr>
        <w:top w:val="none" w:sz="0" w:space="0" w:color="auto"/>
        <w:left w:val="none" w:sz="0" w:space="0" w:color="auto"/>
        <w:bottom w:val="none" w:sz="0" w:space="0" w:color="auto"/>
        <w:right w:val="none" w:sz="0" w:space="0" w:color="auto"/>
      </w:divBdr>
    </w:div>
    <w:div w:id="1759018024">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powergroup.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npowergroup.es/estudios/el-desajuste-de-talento-muestra-por-fin-un-leve-descenso-tras-10-anos-crecien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5</cp:revision>
  <cp:lastPrinted>2023-04-10T09:32:00Z</cp:lastPrinted>
  <dcterms:created xsi:type="dcterms:W3CDTF">2024-05-07T10:51:00Z</dcterms:created>
  <dcterms:modified xsi:type="dcterms:W3CDTF">2024-05-08T09:18:00Z</dcterms:modified>
</cp:coreProperties>
</file>