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1FF253D9"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ManpowerGroup para </w:t>
      </w:r>
      <w:r w:rsidR="0001254E" w:rsidRPr="00687087">
        <w:rPr>
          <w:rFonts w:ascii="Arial" w:eastAsia="Arial" w:hAnsi="Arial" w:cs="Arial"/>
          <w:b/>
          <w:color w:val="000000"/>
          <w:sz w:val="20"/>
          <w:szCs w:val="20"/>
          <w:u w:val="single"/>
        </w:rPr>
        <w:t xml:space="preserve">el </w:t>
      </w:r>
      <w:r w:rsidR="001433E0">
        <w:rPr>
          <w:rFonts w:ascii="Arial" w:eastAsia="Arial" w:hAnsi="Arial" w:cs="Arial"/>
          <w:b/>
          <w:color w:val="000000"/>
          <w:sz w:val="20"/>
          <w:szCs w:val="20"/>
          <w:u w:val="single"/>
        </w:rPr>
        <w:t>tercer</w:t>
      </w:r>
      <w:r w:rsidR="00EA7C7E" w:rsidRPr="00687087">
        <w:rPr>
          <w:rFonts w:ascii="Arial" w:eastAsia="Arial" w:hAnsi="Arial" w:cs="Arial"/>
          <w:b/>
          <w:color w:val="000000"/>
          <w:sz w:val="20"/>
          <w:szCs w:val="20"/>
          <w:u w:val="single"/>
        </w:rPr>
        <w:t xml:space="preserve"> trimestre</w:t>
      </w:r>
      <w:r w:rsidRPr="00687087">
        <w:rPr>
          <w:rFonts w:ascii="Arial" w:eastAsia="Arial" w:hAnsi="Arial" w:cs="Arial"/>
          <w:b/>
          <w:color w:val="000000"/>
          <w:sz w:val="20"/>
          <w:szCs w:val="20"/>
          <w:u w:val="single"/>
        </w:rPr>
        <w:t xml:space="preserve"> de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0FC91BDF" w14:textId="77777777" w:rsidR="00FE5027" w:rsidRDefault="00467E66" w:rsidP="00FE5027">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 xml:space="preserve">Energía y suministros </w:t>
      </w:r>
      <w:r w:rsidR="00217624">
        <w:rPr>
          <w:rFonts w:ascii="Arial" w:eastAsia="Arial" w:hAnsi="Arial" w:cs="Arial"/>
          <w:b/>
          <w:bCs/>
          <w:sz w:val="36"/>
          <w:szCs w:val="36"/>
        </w:rPr>
        <w:t xml:space="preserve">es el segundo </w:t>
      </w:r>
      <w:r w:rsidR="00FE5027">
        <w:rPr>
          <w:rFonts w:ascii="Arial" w:eastAsia="Arial" w:hAnsi="Arial" w:cs="Arial"/>
          <w:b/>
          <w:bCs/>
          <w:sz w:val="36"/>
          <w:szCs w:val="36"/>
        </w:rPr>
        <w:t>sector más optimista para crear empleo en el tercer trimestre</w:t>
      </w:r>
    </w:p>
    <w:p w14:paraId="15E43114" w14:textId="313EEFBD" w:rsidR="001B39AD" w:rsidRPr="00687087" w:rsidRDefault="001B39AD" w:rsidP="00FE5027">
      <w:pPr>
        <w:pStyle w:val="Prrafodelista"/>
        <w:spacing w:line="276" w:lineRule="auto"/>
        <w:ind w:left="0" w:right="-1"/>
        <w:jc w:val="center"/>
        <w:rPr>
          <w:rFonts w:ascii="Arial" w:eastAsia="Arial" w:hAnsi="Arial" w:cs="Arial"/>
          <w:b/>
          <w:color w:val="000000"/>
          <w:sz w:val="23"/>
          <w:szCs w:val="23"/>
        </w:rPr>
      </w:pPr>
    </w:p>
    <w:p w14:paraId="22D45699" w14:textId="1D91B0BF" w:rsidR="001433E0" w:rsidRDefault="00467E66" w:rsidP="00E13BED">
      <w:pPr>
        <w:pStyle w:val="Prrafodelista"/>
        <w:numPr>
          <w:ilvl w:val="0"/>
          <w:numId w:val="1"/>
        </w:numPr>
        <w:spacing w:line="276" w:lineRule="auto"/>
        <w:jc w:val="both"/>
        <w:rPr>
          <w:rFonts w:ascii="Arial" w:eastAsia="Arial" w:hAnsi="Arial" w:cs="Arial"/>
          <w:b/>
          <w:color w:val="000000"/>
          <w:sz w:val="23"/>
          <w:szCs w:val="23"/>
        </w:rPr>
      </w:pPr>
      <w:bookmarkStart w:id="0" w:name="_Hlk113557077"/>
      <w:r>
        <w:rPr>
          <w:rFonts w:ascii="Arial" w:eastAsia="Arial" w:hAnsi="Arial" w:cs="Arial"/>
          <w:b/>
          <w:color w:val="000000"/>
          <w:sz w:val="23"/>
          <w:szCs w:val="23"/>
        </w:rPr>
        <w:t xml:space="preserve">Las compañías </w:t>
      </w:r>
      <w:r w:rsidR="00FE5027">
        <w:rPr>
          <w:rFonts w:ascii="Arial" w:eastAsia="Arial" w:hAnsi="Arial" w:cs="Arial"/>
          <w:b/>
          <w:color w:val="000000"/>
          <w:sz w:val="23"/>
          <w:szCs w:val="23"/>
        </w:rPr>
        <w:t xml:space="preserve">energética anticipan </w:t>
      </w:r>
      <w:r w:rsidRPr="00687087">
        <w:rPr>
          <w:rFonts w:ascii="Arial" w:eastAsia="Arial" w:hAnsi="Arial" w:cs="Arial"/>
          <w:b/>
          <w:color w:val="000000"/>
          <w:sz w:val="23"/>
          <w:szCs w:val="23"/>
        </w:rPr>
        <w:t xml:space="preserve">una proyección neta del </w:t>
      </w:r>
      <w:r>
        <w:rPr>
          <w:rFonts w:ascii="Arial" w:eastAsia="Arial" w:hAnsi="Arial" w:cs="Arial"/>
          <w:b/>
          <w:color w:val="000000"/>
          <w:sz w:val="23"/>
          <w:szCs w:val="23"/>
        </w:rPr>
        <w:t>31</w:t>
      </w:r>
      <w:r w:rsidRPr="00687087">
        <w:rPr>
          <w:rFonts w:ascii="Arial" w:eastAsia="Arial" w:hAnsi="Arial" w:cs="Arial"/>
          <w:b/>
          <w:color w:val="000000"/>
          <w:sz w:val="23"/>
          <w:szCs w:val="23"/>
        </w:rPr>
        <w:t>%</w:t>
      </w:r>
      <w:r>
        <w:rPr>
          <w:rFonts w:ascii="Arial" w:eastAsia="Arial" w:hAnsi="Arial" w:cs="Arial"/>
          <w:b/>
          <w:color w:val="000000"/>
          <w:sz w:val="23"/>
          <w:szCs w:val="23"/>
        </w:rPr>
        <w:t>, solo por detrás de Salud y farmacia</w:t>
      </w:r>
      <w:r w:rsidR="00175EBE">
        <w:rPr>
          <w:rFonts w:ascii="Arial" w:eastAsia="Arial" w:hAnsi="Arial" w:cs="Arial"/>
          <w:b/>
          <w:color w:val="000000"/>
          <w:sz w:val="23"/>
          <w:szCs w:val="23"/>
        </w:rPr>
        <w:t xml:space="preserve"> (33%)</w:t>
      </w:r>
      <w:r>
        <w:rPr>
          <w:rFonts w:ascii="Arial" w:eastAsia="Arial" w:hAnsi="Arial" w:cs="Arial"/>
          <w:b/>
          <w:color w:val="000000"/>
          <w:sz w:val="23"/>
          <w:szCs w:val="23"/>
        </w:rPr>
        <w:t>.</w:t>
      </w:r>
    </w:p>
    <w:p w14:paraId="4527B826" w14:textId="77777777" w:rsidR="009A1EB0" w:rsidRDefault="009A1EB0" w:rsidP="009A1EB0">
      <w:pPr>
        <w:pStyle w:val="Prrafodelista"/>
        <w:spacing w:line="276" w:lineRule="auto"/>
        <w:jc w:val="both"/>
        <w:rPr>
          <w:rFonts w:ascii="Arial" w:eastAsia="Arial" w:hAnsi="Arial" w:cs="Arial"/>
          <w:b/>
          <w:color w:val="000000"/>
          <w:sz w:val="23"/>
          <w:szCs w:val="23"/>
        </w:rPr>
      </w:pPr>
    </w:p>
    <w:p w14:paraId="1B224D5D" w14:textId="79365BBC" w:rsidR="00467E66" w:rsidRDefault="00951405" w:rsidP="00666E7E">
      <w:pPr>
        <w:pStyle w:val="Prrafodelista"/>
        <w:numPr>
          <w:ilvl w:val="0"/>
          <w:numId w:val="1"/>
        </w:numPr>
        <w:spacing w:line="276" w:lineRule="auto"/>
        <w:jc w:val="both"/>
        <w:rPr>
          <w:rFonts w:ascii="Arial" w:eastAsia="Arial" w:hAnsi="Arial" w:cs="Arial"/>
          <w:b/>
          <w:color w:val="000000"/>
          <w:sz w:val="23"/>
          <w:szCs w:val="23"/>
        </w:rPr>
      </w:pPr>
      <w:r>
        <w:rPr>
          <w:rFonts w:ascii="Arial" w:eastAsia="Arial" w:hAnsi="Arial" w:cs="Arial"/>
          <w:b/>
          <w:color w:val="000000"/>
          <w:sz w:val="23"/>
          <w:szCs w:val="23"/>
        </w:rPr>
        <w:t>A nivel mundial, Energía</w:t>
      </w:r>
      <w:r w:rsidR="00D00DF9">
        <w:rPr>
          <w:rFonts w:ascii="Arial" w:eastAsia="Arial" w:hAnsi="Arial" w:cs="Arial"/>
          <w:b/>
          <w:color w:val="000000"/>
          <w:sz w:val="23"/>
          <w:szCs w:val="23"/>
        </w:rPr>
        <w:t xml:space="preserve"> se sitúa también en segunda posición, con un 34%, solo antecedida por </w:t>
      </w:r>
      <w:r w:rsidR="00070929">
        <w:rPr>
          <w:rFonts w:ascii="Arial" w:eastAsia="Arial" w:hAnsi="Arial" w:cs="Arial"/>
          <w:b/>
          <w:color w:val="000000"/>
          <w:sz w:val="23"/>
          <w:szCs w:val="23"/>
        </w:rPr>
        <w:t>Tecnología</w:t>
      </w:r>
      <w:r w:rsidR="00175EBE">
        <w:rPr>
          <w:rFonts w:ascii="Arial" w:eastAsia="Arial" w:hAnsi="Arial" w:cs="Arial"/>
          <w:b/>
          <w:color w:val="000000"/>
          <w:sz w:val="23"/>
          <w:szCs w:val="23"/>
        </w:rPr>
        <w:t xml:space="preserve">, </w:t>
      </w:r>
      <w:r w:rsidR="00D00DF9">
        <w:rPr>
          <w:rFonts w:ascii="Arial" w:eastAsia="Arial" w:hAnsi="Arial" w:cs="Arial"/>
          <w:b/>
          <w:color w:val="000000"/>
          <w:sz w:val="23"/>
          <w:szCs w:val="23"/>
        </w:rPr>
        <w:t>con un 39%.</w:t>
      </w:r>
    </w:p>
    <w:p w14:paraId="21DDDD5F" w14:textId="4E4974EF" w:rsidR="00D74557" w:rsidRDefault="00D74557" w:rsidP="00070929">
      <w:pPr>
        <w:spacing w:line="276" w:lineRule="auto"/>
        <w:jc w:val="both"/>
        <w:rPr>
          <w:rFonts w:ascii="Arial" w:eastAsia="Arial" w:hAnsi="Arial" w:cs="Arial"/>
          <w:b/>
          <w:color w:val="000000"/>
          <w:sz w:val="23"/>
          <w:szCs w:val="23"/>
        </w:rPr>
      </w:pPr>
    </w:p>
    <w:p w14:paraId="7317C811" w14:textId="77777777" w:rsidR="00070929" w:rsidRPr="00070929" w:rsidRDefault="00070929" w:rsidP="00070929">
      <w:pPr>
        <w:spacing w:line="276" w:lineRule="auto"/>
        <w:jc w:val="both"/>
        <w:rPr>
          <w:rFonts w:ascii="Arial" w:eastAsia="Arial" w:hAnsi="Arial" w:cs="Arial"/>
          <w:b/>
          <w:color w:val="000000"/>
          <w:sz w:val="23"/>
          <w:szCs w:val="23"/>
        </w:rPr>
      </w:pPr>
    </w:p>
    <w:bookmarkEnd w:id="0"/>
    <w:p w14:paraId="7BE00784" w14:textId="5DFF798B" w:rsidR="009E1FDB" w:rsidRDefault="001A2A76" w:rsidP="00220C6D">
      <w:pPr>
        <w:spacing w:line="276" w:lineRule="auto"/>
        <w:jc w:val="both"/>
        <w:rPr>
          <w:rFonts w:ascii="Arial" w:eastAsia="Arial" w:hAnsi="Arial" w:cs="Arial"/>
          <w:sz w:val="22"/>
          <w:szCs w:val="22"/>
        </w:rPr>
      </w:pPr>
      <w:r w:rsidRPr="00687087">
        <w:rPr>
          <w:rFonts w:ascii="Arial" w:eastAsia="Arial" w:hAnsi="Arial" w:cs="Arial"/>
          <w:b/>
          <w:sz w:val="22"/>
          <w:szCs w:val="22"/>
        </w:rPr>
        <w:t xml:space="preserve">Madrid, </w:t>
      </w:r>
      <w:r w:rsidR="00A242B7" w:rsidRPr="00A242B7">
        <w:rPr>
          <w:rFonts w:ascii="Arial" w:eastAsia="Arial" w:hAnsi="Arial" w:cs="Arial"/>
          <w:b/>
          <w:color w:val="FF0000"/>
          <w:sz w:val="22"/>
          <w:szCs w:val="22"/>
          <w:highlight w:val="yellow"/>
        </w:rPr>
        <w:t>XX</w:t>
      </w:r>
      <w:r w:rsidR="0018572B">
        <w:rPr>
          <w:rFonts w:ascii="Arial" w:eastAsia="Arial" w:hAnsi="Arial" w:cs="Arial"/>
          <w:b/>
          <w:sz w:val="22"/>
          <w:szCs w:val="22"/>
        </w:rPr>
        <w:t xml:space="preserve"> </w:t>
      </w:r>
      <w:r w:rsidR="005D1AE9" w:rsidRPr="00687087">
        <w:rPr>
          <w:rFonts w:ascii="Arial" w:eastAsia="Arial" w:hAnsi="Arial" w:cs="Arial"/>
          <w:b/>
          <w:sz w:val="22"/>
          <w:szCs w:val="22"/>
        </w:rPr>
        <w:t xml:space="preserve">de </w:t>
      </w:r>
      <w:r w:rsidR="00220C6D">
        <w:rPr>
          <w:rFonts w:ascii="Arial" w:eastAsia="Arial" w:hAnsi="Arial" w:cs="Arial"/>
          <w:b/>
          <w:sz w:val="22"/>
          <w:szCs w:val="22"/>
        </w:rPr>
        <w:t>junio</w:t>
      </w:r>
      <w:r w:rsidR="00D7641E" w:rsidRPr="00687087">
        <w:rPr>
          <w:rFonts w:ascii="Arial" w:eastAsia="Arial" w:hAnsi="Arial" w:cs="Arial"/>
          <w:b/>
          <w:sz w:val="22"/>
          <w:szCs w:val="22"/>
        </w:rPr>
        <w:t xml:space="preserve"> </w:t>
      </w:r>
      <w:r w:rsidRPr="00687087">
        <w:rPr>
          <w:rFonts w:ascii="Arial" w:eastAsia="Arial" w:hAnsi="Arial" w:cs="Arial"/>
          <w:b/>
          <w:sz w:val="22"/>
          <w:szCs w:val="22"/>
        </w:rPr>
        <w:t>de 202</w:t>
      </w:r>
      <w:r w:rsidR="00D7641E" w:rsidRPr="00687087">
        <w:rPr>
          <w:rFonts w:ascii="Arial" w:eastAsia="Arial" w:hAnsi="Arial" w:cs="Arial"/>
          <w:b/>
          <w:sz w:val="22"/>
          <w:szCs w:val="22"/>
        </w:rPr>
        <w:t>3</w:t>
      </w:r>
      <w:r w:rsidRPr="00687087">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687087">
        <w:rPr>
          <w:rFonts w:ascii="Arial" w:eastAsia="Arial" w:hAnsi="Arial" w:cs="Arial"/>
          <w:b/>
          <w:sz w:val="22"/>
          <w:szCs w:val="22"/>
        </w:rPr>
        <w:t xml:space="preserve"> </w:t>
      </w:r>
      <w:r w:rsidR="00070929">
        <w:rPr>
          <w:rFonts w:ascii="Arial" w:eastAsia="Arial" w:hAnsi="Arial" w:cs="Arial"/>
          <w:bCs/>
          <w:sz w:val="22"/>
          <w:szCs w:val="22"/>
        </w:rPr>
        <w:t>Según datos de</w:t>
      </w:r>
      <w:r w:rsidR="0006342D" w:rsidRPr="00687087">
        <w:rPr>
          <w:rFonts w:ascii="Arial" w:eastAsia="Arial" w:hAnsi="Arial" w:cs="Arial"/>
          <w:bCs/>
          <w:sz w:val="22"/>
          <w:szCs w:val="22"/>
        </w:rPr>
        <w:t xml:space="preserve">l Estudio de Proyección de Empleo de ManpowerGroup para el </w:t>
      </w:r>
      <w:r w:rsidR="0006342D">
        <w:rPr>
          <w:rFonts w:ascii="Arial" w:eastAsia="Arial" w:hAnsi="Arial" w:cs="Arial"/>
          <w:bCs/>
          <w:sz w:val="22"/>
          <w:szCs w:val="22"/>
        </w:rPr>
        <w:t>tercer</w:t>
      </w:r>
      <w:r w:rsidR="0006342D" w:rsidRPr="00687087">
        <w:rPr>
          <w:rFonts w:ascii="Arial" w:eastAsia="Arial" w:hAnsi="Arial" w:cs="Arial"/>
          <w:bCs/>
          <w:sz w:val="22"/>
          <w:szCs w:val="22"/>
        </w:rPr>
        <w:t xml:space="preserve"> trimestre de 2023</w:t>
      </w:r>
      <w:r w:rsidR="00070929">
        <w:rPr>
          <w:rFonts w:ascii="Arial" w:eastAsia="Arial" w:hAnsi="Arial" w:cs="Arial"/>
          <w:bCs/>
          <w:sz w:val="22"/>
          <w:szCs w:val="22"/>
        </w:rPr>
        <w:t xml:space="preserve">, </w:t>
      </w:r>
      <w:r w:rsidR="00070929">
        <w:rPr>
          <w:rFonts w:ascii="Arial" w:eastAsia="Arial" w:hAnsi="Arial" w:cs="Arial"/>
          <w:b/>
          <w:sz w:val="22"/>
          <w:szCs w:val="22"/>
        </w:rPr>
        <w:t>el</w:t>
      </w:r>
      <w:r w:rsidR="0006342D" w:rsidRPr="0006342D">
        <w:rPr>
          <w:rFonts w:ascii="Arial" w:eastAsia="Arial" w:hAnsi="Arial" w:cs="Arial"/>
          <w:b/>
          <w:sz w:val="22"/>
          <w:szCs w:val="22"/>
        </w:rPr>
        <w:t xml:space="preserve"> sector de Energía y suministros es el segundo más optimista en intenciones de contratación en la época estival, </w:t>
      </w:r>
      <w:r w:rsidR="009E1FDB" w:rsidRPr="0006342D">
        <w:rPr>
          <w:rFonts w:ascii="Arial" w:eastAsia="Arial" w:hAnsi="Arial" w:cs="Arial"/>
          <w:b/>
          <w:sz w:val="22"/>
          <w:szCs w:val="22"/>
        </w:rPr>
        <w:t>co</w:t>
      </w:r>
      <w:r w:rsidR="009E1FDB" w:rsidRPr="0062226B">
        <w:rPr>
          <w:rFonts w:ascii="Arial" w:eastAsia="Arial" w:hAnsi="Arial" w:cs="Arial"/>
          <w:b/>
          <w:bCs/>
          <w:sz w:val="22"/>
          <w:szCs w:val="22"/>
        </w:rPr>
        <w:t>n una proyección neta del 31%</w:t>
      </w:r>
      <w:r w:rsidR="00070929">
        <w:rPr>
          <w:rFonts w:ascii="Arial" w:eastAsia="Arial" w:hAnsi="Arial" w:cs="Arial"/>
          <w:b/>
          <w:bCs/>
          <w:sz w:val="22"/>
          <w:szCs w:val="22"/>
        </w:rPr>
        <w:t xml:space="preserve">. </w:t>
      </w:r>
      <w:r w:rsidR="00070929" w:rsidRPr="00070929">
        <w:rPr>
          <w:rFonts w:ascii="Arial" w:eastAsia="Arial" w:hAnsi="Arial" w:cs="Arial"/>
          <w:sz w:val="22"/>
          <w:szCs w:val="22"/>
        </w:rPr>
        <w:t>Este resultado</w:t>
      </w:r>
      <w:r w:rsidR="00070929">
        <w:rPr>
          <w:rFonts w:ascii="Arial" w:eastAsia="Arial" w:hAnsi="Arial" w:cs="Arial"/>
          <w:b/>
          <w:bCs/>
          <w:sz w:val="22"/>
          <w:szCs w:val="22"/>
        </w:rPr>
        <w:t xml:space="preserve"> </w:t>
      </w:r>
      <w:r w:rsidR="009E1FDB">
        <w:rPr>
          <w:rFonts w:ascii="Arial" w:eastAsia="Arial" w:hAnsi="Arial" w:cs="Arial"/>
          <w:sz w:val="22"/>
          <w:szCs w:val="22"/>
        </w:rPr>
        <w:t xml:space="preserve">supone un incremento de 11 puntos respecto al segundo trimestre. </w:t>
      </w:r>
      <w:r w:rsidR="00070929">
        <w:rPr>
          <w:rFonts w:ascii="Arial" w:eastAsia="Arial" w:hAnsi="Arial" w:cs="Arial"/>
          <w:sz w:val="22"/>
          <w:szCs w:val="22"/>
        </w:rPr>
        <w:t xml:space="preserve">Así, </w:t>
      </w:r>
      <w:r w:rsidR="009E1FDB">
        <w:rPr>
          <w:rFonts w:ascii="Arial" w:eastAsia="Arial" w:hAnsi="Arial" w:cs="Arial"/>
          <w:sz w:val="22"/>
          <w:szCs w:val="22"/>
        </w:rPr>
        <w:t xml:space="preserve">el 41% de </w:t>
      </w:r>
      <w:r w:rsidR="00070929">
        <w:rPr>
          <w:rFonts w:ascii="Arial" w:eastAsia="Arial" w:hAnsi="Arial" w:cs="Arial"/>
          <w:sz w:val="22"/>
          <w:szCs w:val="22"/>
        </w:rPr>
        <w:t xml:space="preserve">las compañías </w:t>
      </w:r>
      <w:r w:rsidR="009E1FDB">
        <w:rPr>
          <w:rFonts w:ascii="Arial" w:eastAsia="Arial" w:hAnsi="Arial" w:cs="Arial"/>
          <w:sz w:val="22"/>
          <w:szCs w:val="22"/>
        </w:rPr>
        <w:t>prevén un aumento de los equipos, mientras que el 49% estima mantener el mismo número de empleados.</w:t>
      </w:r>
    </w:p>
    <w:p w14:paraId="78D60A99" w14:textId="77777777" w:rsidR="00D00DF9" w:rsidRDefault="00D00DF9" w:rsidP="00220C6D">
      <w:pPr>
        <w:spacing w:line="276" w:lineRule="auto"/>
        <w:jc w:val="both"/>
        <w:rPr>
          <w:rFonts w:ascii="Arial" w:eastAsia="Arial" w:hAnsi="Arial" w:cs="Arial"/>
          <w:sz w:val="22"/>
          <w:szCs w:val="22"/>
        </w:rPr>
      </w:pPr>
    </w:p>
    <w:p w14:paraId="4F9FF174" w14:textId="630003EC" w:rsidR="00D00DF9" w:rsidRPr="003018DE" w:rsidRDefault="00D00DF9" w:rsidP="00D00DF9">
      <w:pPr>
        <w:spacing w:line="276" w:lineRule="auto"/>
        <w:jc w:val="both"/>
        <w:rPr>
          <w:rFonts w:ascii="Arial" w:eastAsia="Arial" w:hAnsi="Arial" w:cs="Arial"/>
          <w:sz w:val="22"/>
          <w:szCs w:val="22"/>
        </w:rPr>
      </w:pPr>
      <w:r>
        <w:rPr>
          <w:rFonts w:ascii="Arial" w:eastAsia="Arial" w:hAnsi="Arial" w:cs="Arial"/>
          <w:i/>
          <w:iCs/>
          <w:sz w:val="22"/>
          <w:szCs w:val="22"/>
        </w:rPr>
        <w:t>“</w:t>
      </w:r>
      <w:r w:rsidR="00070929">
        <w:rPr>
          <w:rFonts w:ascii="Arial" w:eastAsia="Arial" w:hAnsi="Arial" w:cs="Arial"/>
          <w:i/>
          <w:iCs/>
          <w:sz w:val="22"/>
          <w:szCs w:val="22"/>
        </w:rPr>
        <w:t xml:space="preserve">Además de una creciente sensibilidad medioambiental, </w:t>
      </w:r>
      <w:r>
        <w:rPr>
          <w:rFonts w:ascii="Arial" w:eastAsia="Arial" w:hAnsi="Arial" w:cs="Arial"/>
          <w:i/>
          <w:iCs/>
          <w:sz w:val="22"/>
          <w:szCs w:val="22"/>
        </w:rPr>
        <w:t>los programas de ayudas regionales, nacionales y europeos están contribuyendo a</w:t>
      </w:r>
      <w:r w:rsidR="00070929">
        <w:rPr>
          <w:rFonts w:ascii="Arial" w:eastAsia="Arial" w:hAnsi="Arial" w:cs="Arial"/>
          <w:i/>
          <w:iCs/>
          <w:sz w:val="22"/>
          <w:szCs w:val="22"/>
        </w:rPr>
        <w:t xml:space="preserve"> una aceleración en e</w:t>
      </w:r>
      <w:r>
        <w:rPr>
          <w:rFonts w:ascii="Arial" w:eastAsia="Arial" w:hAnsi="Arial" w:cs="Arial"/>
          <w:i/>
          <w:iCs/>
          <w:sz w:val="22"/>
          <w:szCs w:val="22"/>
        </w:rPr>
        <w:t xml:space="preserve">l despliegue de </w:t>
      </w:r>
      <w:r w:rsidR="00070929">
        <w:rPr>
          <w:rFonts w:ascii="Arial" w:eastAsia="Arial" w:hAnsi="Arial" w:cs="Arial"/>
          <w:i/>
          <w:iCs/>
          <w:sz w:val="22"/>
          <w:szCs w:val="22"/>
        </w:rPr>
        <w:t xml:space="preserve">las </w:t>
      </w:r>
      <w:r>
        <w:rPr>
          <w:rFonts w:ascii="Arial" w:eastAsia="Arial" w:hAnsi="Arial" w:cs="Arial"/>
          <w:i/>
          <w:iCs/>
          <w:sz w:val="22"/>
          <w:szCs w:val="22"/>
        </w:rPr>
        <w:t>energías renovables en España. El sector energético vive un momento de transformación</w:t>
      </w:r>
      <w:r w:rsidR="00070929">
        <w:rPr>
          <w:rFonts w:ascii="Arial" w:eastAsia="Arial" w:hAnsi="Arial" w:cs="Arial"/>
          <w:i/>
          <w:iCs/>
          <w:sz w:val="22"/>
          <w:szCs w:val="22"/>
        </w:rPr>
        <w:t xml:space="preserve"> y las </w:t>
      </w:r>
      <w:r>
        <w:rPr>
          <w:rFonts w:ascii="Arial" w:eastAsia="Arial" w:hAnsi="Arial" w:cs="Arial"/>
          <w:i/>
          <w:iCs/>
          <w:sz w:val="22"/>
          <w:szCs w:val="22"/>
        </w:rPr>
        <w:t xml:space="preserve">compañías </w:t>
      </w:r>
      <w:r w:rsidR="00070929">
        <w:rPr>
          <w:rFonts w:ascii="Arial" w:eastAsia="Arial" w:hAnsi="Arial" w:cs="Arial"/>
          <w:i/>
          <w:iCs/>
          <w:sz w:val="22"/>
          <w:szCs w:val="22"/>
        </w:rPr>
        <w:t xml:space="preserve">necesitan de nuevos perfiles profesionales que les permitan </w:t>
      </w:r>
      <w:r>
        <w:rPr>
          <w:rFonts w:ascii="Arial" w:eastAsia="Arial" w:hAnsi="Arial" w:cs="Arial"/>
          <w:i/>
          <w:iCs/>
          <w:sz w:val="22"/>
          <w:szCs w:val="22"/>
        </w:rPr>
        <w:t xml:space="preserve">asumir el reto de </w:t>
      </w:r>
      <w:r w:rsidR="00FE5027">
        <w:rPr>
          <w:rFonts w:ascii="Arial" w:eastAsia="Arial" w:hAnsi="Arial" w:cs="Arial"/>
          <w:i/>
          <w:iCs/>
          <w:sz w:val="22"/>
          <w:szCs w:val="22"/>
        </w:rPr>
        <w:t>es</w:t>
      </w:r>
      <w:r>
        <w:rPr>
          <w:rFonts w:ascii="Arial" w:eastAsia="Arial" w:hAnsi="Arial" w:cs="Arial"/>
          <w:i/>
          <w:iCs/>
          <w:sz w:val="22"/>
          <w:szCs w:val="22"/>
        </w:rPr>
        <w:t xml:space="preserve">a transición </w:t>
      </w:r>
      <w:r w:rsidR="00FE5027">
        <w:rPr>
          <w:rFonts w:ascii="Arial" w:eastAsia="Arial" w:hAnsi="Arial" w:cs="Arial"/>
          <w:i/>
          <w:iCs/>
          <w:sz w:val="22"/>
          <w:szCs w:val="22"/>
        </w:rPr>
        <w:t>necesaria</w:t>
      </w:r>
      <w:r>
        <w:rPr>
          <w:rFonts w:ascii="Arial" w:eastAsia="Arial" w:hAnsi="Arial" w:cs="Arial"/>
          <w:i/>
          <w:iCs/>
          <w:sz w:val="22"/>
          <w:szCs w:val="22"/>
        </w:rPr>
        <w:t xml:space="preserve">”, </w:t>
      </w:r>
      <w:r w:rsidRPr="003018DE">
        <w:rPr>
          <w:rFonts w:ascii="Arial" w:eastAsia="Arial" w:hAnsi="Arial" w:cs="Arial"/>
          <w:sz w:val="22"/>
          <w:szCs w:val="22"/>
        </w:rPr>
        <w:t>asegura</w:t>
      </w:r>
      <w:r>
        <w:rPr>
          <w:rFonts w:ascii="Arial" w:eastAsia="Arial" w:hAnsi="Arial" w:cs="Arial"/>
          <w:sz w:val="22"/>
          <w:szCs w:val="22"/>
        </w:rPr>
        <w:t xml:space="preserve"> </w:t>
      </w:r>
      <w:r>
        <w:rPr>
          <w:rFonts w:ascii="Arial" w:eastAsia="Arial" w:hAnsi="Arial" w:cs="Arial"/>
          <w:b/>
          <w:sz w:val="22"/>
          <w:szCs w:val="22"/>
        </w:rPr>
        <w:t>Óscar Lupión</w:t>
      </w:r>
      <w:r w:rsidRPr="00191B76">
        <w:rPr>
          <w:rFonts w:ascii="Arial" w:eastAsia="Arial" w:hAnsi="Arial" w:cs="Arial"/>
          <w:b/>
          <w:sz w:val="22"/>
          <w:szCs w:val="22"/>
        </w:rPr>
        <w:t>,</w:t>
      </w:r>
      <w:r w:rsidR="00070929">
        <w:rPr>
          <w:rFonts w:ascii="Arial" w:eastAsia="Arial" w:hAnsi="Arial" w:cs="Arial"/>
          <w:b/>
          <w:sz w:val="22"/>
          <w:szCs w:val="22"/>
        </w:rPr>
        <w:t xml:space="preserve"> D</w:t>
      </w:r>
      <w:r w:rsidRPr="00191B76">
        <w:rPr>
          <w:rFonts w:ascii="Arial" w:eastAsia="Arial" w:hAnsi="Arial" w:cs="Arial"/>
          <w:b/>
          <w:sz w:val="22"/>
          <w:szCs w:val="22"/>
        </w:rPr>
        <w:t xml:space="preserve">irector </w:t>
      </w:r>
      <w:r w:rsidR="00070929">
        <w:rPr>
          <w:rFonts w:ascii="Arial" w:eastAsia="Arial" w:hAnsi="Arial" w:cs="Arial"/>
          <w:b/>
          <w:sz w:val="22"/>
          <w:szCs w:val="22"/>
        </w:rPr>
        <w:t>C</w:t>
      </w:r>
      <w:r w:rsidRPr="00191B76">
        <w:rPr>
          <w:rFonts w:ascii="Arial" w:eastAsia="Arial" w:hAnsi="Arial" w:cs="Arial"/>
          <w:b/>
          <w:sz w:val="22"/>
          <w:szCs w:val="22"/>
        </w:rPr>
        <w:t>orporativ</w:t>
      </w:r>
      <w:r>
        <w:rPr>
          <w:rFonts w:ascii="Arial" w:eastAsia="Arial" w:hAnsi="Arial" w:cs="Arial"/>
          <w:b/>
          <w:sz w:val="22"/>
          <w:szCs w:val="22"/>
        </w:rPr>
        <w:t>o</w:t>
      </w:r>
      <w:r w:rsidRPr="00191B76">
        <w:rPr>
          <w:rFonts w:ascii="Arial" w:eastAsia="Arial" w:hAnsi="Arial" w:cs="Arial"/>
          <w:b/>
          <w:sz w:val="22"/>
          <w:szCs w:val="22"/>
        </w:rPr>
        <w:t xml:space="preserve"> de </w:t>
      </w:r>
      <w:r>
        <w:rPr>
          <w:rFonts w:ascii="Arial" w:eastAsia="Arial" w:hAnsi="Arial" w:cs="Arial"/>
          <w:b/>
          <w:sz w:val="22"/>
          <w:szCs w:val="22"/>
        </w:rPr>
        <w:t xml:space="preserve">Energía </w:t>
      </w:r>
      <w:r w:rsidRPr="00191B76">
        <w:rPr>
          <w:rFonts w:ascii="Arial" w:eastAsia="Arial" w:hAnsi="Arial" w:cs="Arial"/>
          <w:b/>
          <w:sz w:val="22"/>
          <w:szCs w:val="22"/>
        </w:rPr>
        <w:t>en ManpowerGroup</w:t>
      </w:r>
      <w:r>
        <w:rPr>
          <w:rFonts w:ascii="Arial" w:eastAsia="Arial" w:hAnsi="Arial" w:cs="Arial"/>
          <w:b/>
          <w:sz w:val="22"/>
          <w:szCs w:val="22"/>
        </w:rPr>
        <w:t>.</w:t>
      </w:r>
    </w:p>
    <w:p w14:paraId="4E6DB5C7" w14:textId="2CE6B0AD" w:rsidR="009E1FDB" w:rsidRDefault="009E1FDB" w:rsidP="00220C6D">
      <w:pPr>
        <w:spacing w:line="276" w:lineRule="auto"/>
        <w:jc w:val="both"/>
        <w:rPr>
          <w:rFonts w:ascii="Arial" w:eastAsia="Arial" w:hAnsi="Arial" w:cs="Arial"/>
          <w:sz w:val="22"/>
          <w:szCs w:val="22"/>
        </w:rPr>
      </w:pPr>
    </w:p>
    <w:p w14:paraId="291494E5" w14:textId="77777777" w:rsidR="00070929" w:rsidRDefault="00070929" w:rsidP="00220C6D">
      <w:pPr>
        <w:spacing w:line="276" w:lineRule="auto"/>
        <w:jc w:val="both"/>
        <w:rPr>
          <w:rFonts w:ascii="Arial" w:eastAsia="Arial" w:hAnsi="Arial" w:cs="Arial"/>
          <w:sz w:val="22"/>
          <w:szCs w:val="22"/>
        </w:rPr>
      </w:pPr>
    </w:p>
    <w:p w14:paraId="5C275102" w14:textId="5AA87D72" w:rsidR="00A242B7" w:rsidRPr="003C5FF2" w:rsidRDefault="00272028" w:rsidP="00A242B7">
      <w:pPr>
        <w:spacing w:line="276" w:lineRule="auto"/>
        <w:jc w:val="both"/>
        <w:rPr>
          <w:rFonts w:ascii="Arial" w:eastAsia="Arial" w:hAnsi="Arial" w:cs="Arial"/>
          <w:b/>
          <w:sz w:val="22"/>
          <w:szCs w:val="22"/>
        </w:rPr>
      </w:pPr>
      <w:r>
        <w:rPr>
          <w:rFonts w:ascii="Arial" w:eastAsia="Arial" w:hAnsi="Arial" w:cs="Arial"/>
          <w:b/>
          <w:sz w:val="22"/>
          <w:szCs w:val="22"/>
        </w:rPr>
        <w:t xml:space="preserve">Energía y suministros es también </w:t>
      </w:r>
      <w:r w:rsidR="00FE5027">
        <w:rPr>
          <w:rFonts w:ascii="Arial" w:eastAsia="Arial" w:hAnsi="Arial" w:cs="Arial"/>
          <w:b/>
          <w:sz w:val="22"/>
          <w:szCs w:val="22"/>
        </w:rPr>
        <w:t xml:space="preserve">el </w:t>
      </w:r>
      <w:r>
        <w:rPr>
          <w:rFonts w:ascii="Arial" w:eastAsia="Arial" w:hAnsi="Arial" w:cs="Arial"/>
          <w:b/>
          <w:sz w:val="22"/>
          <w:szCs w:val="22"/>
        </w:rPr>
        <w:t>s</w:t>
      </w:r>
      <w:r w:rsidR="00A242B7">
        <w:rPr>
          <w:rFonts w:ascii="Arial" w:eastAsia="Arial" w:hAnsi="Arial" w:cs="Arial"/>
          <w:b/>
          <w:sz w:val="22"/>
          <w:szCs w:val="22"/>
        </w:rPr>
        <w:t>egund</w:t>
      </w:r>
      <w:r w:rsidR="00FE5027">
        <w:rPr>
          <w:rFonts w:ascii="Arial" w:eastAsia="Arial" w:hAnsi="Arial" w:cs="Arial"/>
          <w:b/>
          <w:sz w:val="22"/>
          <w:szCs w:val="22"/>
        </w:rPr>
        <w:t>o</w:t>
      </w:r>
      <w:r w:rsidR="00A242B7">
        <w:rPr>
          <w:rFonts w:ascii="Arial" w:eastAsia="Arial" w:hAnsi="Arial" w:cs="Arial"/>
          <w:b/>
          <w:sz w:val="22"/>
          <w:szCs w:val="22"/>
        </w:rPr>
        <w:t xml:space="preserve"> mejor </w:t>
      </w:r>
      <w:r w:rsidR="00FE5027">
        <w:rPr>
          <w:rFonts w:ascii="Arial" w:eastAsia="Arial" w:hAnsi="Arial" w:cs="Arial"/>
          <w:b/>
          <w:sz w:val="22"/>
          <w:szCs w:val="22"/>
        </w:rPr>
        <w:t xml:space="preserve">registro </w:t>
      </w:r>
      <w:r w:rsidR="00A242B7">
        <w:rPr>
          <w:rFonts w:ascii="Arial" w:eastAsia="Arial" w:hAnsi="Arial" w:cs="Arial"/>
          <w:b/>
          <w:sz w:val="22"/>
          <w:szCs w:val="22"/>
        </w:rPr>
        <w:t>a nivel global</w:t>
      </w:r>
    </w:p>
    <w:p w14:paraId="6B5BA6AC" w14:textId="0CED5DE8" w:rsidR="00A242B7" w:rsidRDefault="00A242B7" w:rsidP="00A242B7">
      <w:pPr>
        <w:spacing w:line="276" w:lineRule="auto"/>
        <w:jc w:val="both"/>
        <w:rPr>
          <w:rFonts w:ascii="Arial" w:eastAsia="Arial" w:hAnsi="Arial" w:cs="Arial"/>
          <w:bCs/>
          <w:sz w:val="22"/>
          <w:szCs w:val="22"/>
        </w:rPr>
      </w:pPr>
      <w:r>
        <w:rPr>
          <w:rFonts w:ascii="Arial" w:eastAsia="Arial" w:hAnsi="Arial" w:cs="Arial"/>
          <w:bCs/>
          <w:sz w:val="22"/>
          <w:szCs w:val="22"/>
        </w:rPr>
        <w:t xml:space="preserve">Atendiendo a las cifras globales, el sector Energía y suministros obtiene también la </w:t>
      </w:r>
      <w:r w:rsidRPr="004E4D24">
        <w:rPr>
          <w:rFonts w:ascii="Arial" w:eastAsia="Arial" w:hAnsi="Arial" w:cs="Arial"/>
          <w:b/>
          <w:sz w:val="22"/>
          <w:szCs w:val="22"/>
        </w:rPr>
        <w:t xml:space="preserve">segunda </w:t>
      </w:r>
      <w:r w:rsidRPr="00951405">
        <w:rPr>
          <w:rFonts w:ascii="Arial" w:eastAsia="Arial" w:hAnsi="Arial" w:cs="Arial"/>
          <w:bCs/>
          <w:sz w:val="22"/>
          <w:szCs w:val="22"/>
        </w:rPr>
        <w:t>plaza en las previsiones</w:t>
      </w:r>
      <w:r>
        <w:rPr>
          <w:rFonts w:ascii="Arial" w:eastAsia="Arial" w:hAnsi="Arial" w:cs="Arial"/>
          <w:bCs/>
          <w:sz w:val="22"/>
          <w:szCs w:val="22"/>
        </w:rPr>
        <w:t xml:space="preserve"> de generación de empleo, con una </w:t>
      </w:r>
      <w:r w:rsidRPr="004E4D24">
        <w:rPr>
          <w:rFonts w:ascii="Arial" w:eastAsia="Arial" w:hAnsi="Arial" w:cs="Arial"/>
          <w:b/>
          <w:sz w:val="22"/>
          <w:szCs w:val="22"/>
        </w:rPr>
        <w:t>proyección del 34%,</w:t>
      </w:r>
      <w:r>
        <w:rPr>
          <w:rFonts w:ascii="Arial" w:eastAsia="Arial" w:hAnsi="Arial" w:cs="Arial"/>
          <w:bCs/>
          <w:sz w:val="22"/>
          <w:szCs w:val="22"/>
        </w:rPr>
        <w:t xml:space="preserve"> tres puntos por encima de la estimación de las empresas españolas de esta industria. Con respecto al trimestre pasado, en la esfera internacional, Logística aumenta en 8 puntos sus previsiones.</w:t>
      </w:r>
    </w:p>
    <w:p w14:paraId="3615F25F" w14:textId="77777777" w:rsidR="00A242B7" w:rsidRDefault="00A242B7" w:rsidP="00A242B7">
      <w:pPr>
        <w:spacing w:line="276" w:lineRule="auto"/>
        <w:jc w:val="both"/>
        <w:rPr>
          <w:rFonts w:ascii="Arial" w:eastAsia="Arial" w:hAnsi="Arial" w:cs="Arial"/>
          <w:bCs/>
          <w:sz w:val="22"/>
          <w:szCs w:val="22"/>
        </w:rPr>
      </w:pPr>
    </w:p>
    <w:p w14:paraId="7F292793" w14:textId="77777777" w:rsidR="00FE5027" w:rsidRDefault="00070929" w:rsidP="00070929">
      <w:pPr>
        <w:spacing w:line="276" w:lineRule="auto"/>
        <w:jc w:val="both"/>
        <w:rPr>
          <w:rFonts w:ascii="Arial" w:eastAsia="Arial" w:hAnsi="Arial" w:cs="Arial"/>
          <w:bCs/>
          <w:sz w:val="22"/>
          <w:szCs w:val="22"/>
        </w:rPr>
      </w:pPr>
      <w:r>
        <w:rPr>
          <w:rFonts w:ascii="Arial" w:eastAsia="Arial" w:hAnsi="Arial" w:cs="Arial"/>
          <w:bCs/>
          <w:sz w:val="22"/>
          <w:szCs w:val="22"/>
        </w:rPr>
        <w:t xml:space="preserve">En el conjunto mundial, </w:t>
      </w:r>
      <w:r>
        <w:rPr>
          <w:rFonts w:ascii="Arial" w:eastAsia="Arial" w:hAnsi="Arial" w:cs="Arial"/>
          <w:b/>
          <w:sz w:val="22"/>
          <w:szCs w:val="22"/>
        </w:rPr>
        <w:t xml:space="preserve">Tecnología </w:t>
      </w:r>
      <w:r w:rsidRPr="007C4A84">
        <w:rPr>
          <w:rFonts w:ascii="Arial" w:eastAsia="Arial" w:hAnsi="Arial" w:cs="Arial"/>
          <w:b/>
          <w:sz w:val="22"/>
          <w:szCs w:val="22"/>
        </w:rPr>
        <w:t>lidera una vez más las intenciones de contratación, con un 39%.</w:t>
      </w:r>
      <w:r>
        <w:rPr>
          <w:rFonts w:ascii="Arial" w:eastAsia="Arial" w:hAnsi="Arial" w:cs="Arial"/>
          <w:bCs/>
          <w:sz w:val="22"/>
          <w:szCs w:val="22"/>
        </w:rPr>
        <w:t xml:space="preserve"> Tras Energía, </w:t>
      </w:r>
      <w:r w:rsidR="00FE5027">
        <w:rPr>
          <w:rFonts w:ascii="Arial" w:eastAsia="Arial" w:hAnsi="Arial" w:cs="Arial"/>
          <w:bCs/>
          <w:sz w:val="22"/>
          <w:szCs w:val="22"/>
        </w:rPr>
        <w:t xml:space="preserve">se sitúan </w:t>
      </w:r>
      <w:r>
        <w:rPr>
          <w:rFonts w:ascii="Arial" w:eastAsia="Arial" w:hAnsi="Arial" w:cs="Arial"/>
          <w:bCs/>
          <w:sz w:val="22"/>
          <w:szCs w:val="22"/>
        </w:rPr>
        <w:t>Financiero e Inmobiliario (31%)</w:t>
      </w:r>
      <w:r w:rsidR="00B36A65">
        <w:rPr>
          <w:rFonts w:ascii="Arial" w:eastAsia="Arial" w:hAnsi="Arial" w:cs="Arial"/>
          <w:bCs/>
          <w:sz w:val="22"/>
          <w:szCs w:val="22"/>
        </w:rPr>
        <w:t>,</w:t>
      </w:r>
      <w:r>
        <w:rPr>
          <w:rFonts w:ascii="Arial" w:eastAsia="Arial" w:hAnsi="Arial" w:cs="Arial"/>
          <w:bCs/>
          <w:sz w:val="22"/>
          <w:szCs w:val="22"/>
        </w:rPr>
        <w:t xml:space="preserve"> Industrial (28%), Salud y farmacia (27%), Bienes y servicios de consumo (25%) y Publicidad y comunicación (22%), que pierde 8 puntos con respecto al trimestre anterior.</w:t>
      </w:r>
      <w:bookmarkStart w:id="5" w:name="_Hlk137571270"/>
    </w:p>
    <w:p w14:paraId="7E01DF08" w14:textId="77777777" w:rsidR="00FE5027" w:rsidRDefault="00FE5027" w:rsidP="00070929">
      <w:pPr>
        <w:spacing w:line="276" w:lineRule="auto"/>
        <w:jc w:val="both"/>
        <w:rPr>
          <w:rFonts w:ascii="Arial" w:eastAsia="Arial" w:hAnsi="Arial" w:cs="Arial"/>
          <w:bCs/>
          <w:sz w:val="22"/>
          <w:szCs w:val="22"/>
        </w:rPr>
      </w:pPr>
    </w:p>
    <w:p w14:paraId="3D2E7E9C" w14:textId="77777777" w:rsidR="00FE5027" w:rsidRDefault="00FE5027" w:rsidP="00070929">
      <w:pPr>
        <w:spacing w:line="276" w:lineRule="auto"/>
        <w:jc w:val="both"/>
        <w:rPr>
          <w:rFonts w:ascii="Arial" w:eastAsia="Arial" w:hAnsi="Arial" w:cs="Arial"/>
          <w:bCs/>
          <w:sz w:val="22"/>
          <w:szCs w:val="22"/>
        </w:rPr>
      </w:pPr>
    </w:p>
    <w:p w14:paraId="44FB2C28" w14:textId="28D637FC" w:rsidR="00070929" w:rsidRPr="00281696" w:rsidRDefault="00070929" w:rsidP="00070929">
      <w:pPr>
        <w:spacing w:line="276" w:lineRule="auto"/>
        <w:jc w:val="both"/>
        <w:rPr>
          <w:rFonts w:ascii="Arial" w:eastAsia="Arial" w:hAnsi="Arial" w:cs="Arial"/>
          <w:b/>
          <w:bCs/>
          <w:sz w:val="22"/>
          <w:szCs w:val="22"/>
        </w:rPr>
      </w:pPr>
      <w:r w:rsidRPr="00281696">
        <w:rPr>
          <w:rFonts w:ascii="Arial" w:eastAsia="Arial" w:hAnsi="Arial" w:cs="Arial"/>
          <w:b/>
          <w:bCs/>
          <w:sz w:val="22"/>
          <w:szCs w:val="22"/>
        </w:rPr>
        <w:t>Tendencia positiva en prácticamente todos los sectores</w:t>
      </w:r>
      <w:r>
        <w:rPr>
          <w:rFonts w:ascii="Arial" w:eastAsia="Arial" w:hAnsi="Arial" w:cs="Arial"/>
          <w:b/>
          <w:bCs/>
          <w:sz w:val="22"/>
          <w:szCs w:val="22"/>
        </w:rPr>
        <w:t xml:space="preserve"> de la economía española</w:t>
      </w:r>
    </w:p>
    <w:p w14:paraId="72D9D318" w14:textId="50F45FB7" w:rsidR="00070929" w:rsidRDefault="00070929" w:rsidP="00070929">
      <w:pPr>
        <w:spacing w:line="276" w:lineRule="auto"/>
        <w:jc w:val="both"/>
        <w:rPr>
          <w:rFonts w:ascii="Arial" w:eastAsia="Arial" w:hAnsi="Arial" w:cs="Arial"/>
          <w:bCs/>
          <w:sz w:val="22"/>
          <w:szCs w:val="22"/>
        </w:rPr>
      </w:pPr>
      <w:bookmarkStart w:id="6" w:name="_Hlk137573863"/>
      <w:bookmarkEnd w:id="5"/>
      <w:r w:rsidRPr="003C4894">
        <w:rPr>
          <w:rFonts w:ascii="Arial" w:eastAsia="Arial" w:hAnsi="Arial" w:cs="Arial"/>
          <w:bCs/>
          <w:sz w:val="22"/>
          <w:szCs w:val="22"/>
        </w:rPr>
        <w:t xml:space="preserve">En comparación con el trimestre pasado, </w:t>
      </w:r>
      <w:r>
        <w:rPr>
          <w:rFonts w:ascii="Arial" w:eastAsia="Arial" w:hAnsi="Arial" w:cs="Arial"/>
          <w:bCs/>
          <w:sz w:val="22"/>
          <w:szCs w:val="22"/>
        </w:rPr>
        <w:t xml:space="preserve">en España las estimaciones </w:t>
      </w:r>
      <w:r w:rsidRPr="003C4894">
        <w:rPr>
          <w:rFonts w:ascii="Arial" w:eastAsia="Arial" w:hAnsi="Arial" w:cs="Arial"/>
          <w:bCs/>
          <w:sz w:val="22"/>
          <w:szCs w:val="22"/>
        </w:rPr>
        <w:t>de contratación se han fortalecido en 7 de los 9 sectores</w:t>
      </w:r>
      <w:r>
        <w:rPr>
          <w:rFonts w:ascii="Arial" w:eastAsia="Arial" w:hAnsi="Arial" w:cs="Arial"/>
          <w:bCs/>
          <w:sz w:val="22"/>
          <w:szCs w:val="22"/>
        </w:rPr>
        <w:t xml:space="preserve">, mientras que </w:t>
      </w:r>
      <w:r w:rsidRPr="003C4894">
        <w:rPr>
          <w:rFonts w:ascii="Arial" w:eastAsia="Arial" w:hAnsi="Arial" w:cs="Arial"/>
          <w:bCs/>
          <w:sz w:val="22"/>
          <w:szCs w:val="22"/>
        </w:rPr>
        <w:t>se han debilitado en</w:t>
      </w:r>
      <w:r>
        <w:rPr>
          <w:rFonts w:ascii="Arial" w:eastAsia="Arial" w:hAnsi="Arial" w:cs="Arial"/>
          <w:bCs/>
          <w:sz w:val="22"/>
          <w:szCs w:val="22"/>
        </w:rPr>
        <w:t xml:space="preserve"> 2.</w:t>
      </w:r>
    </w:p>
    <w:bookmarkEnd w:id="6"/>
    <w:p w14:paraId="603CFCCA" w14:textId="213450F1" w:rsidR="00070929" w:rsidRDefault="00070929">
      <w:pPr>
        <w:spacing w:after="160" w:line="259" w:lineRule="auto"/>
        <w:rPr>
          <w:rFonts w:ascii="Arial" w:eastAsia="Arial" w:hAnsi="Arial" w:cs="Arial"/>
          <w:sz w:val="22"/>
          <w:szCs w:val="22"/>
        </w:rPr>
      </w:pPr>
    </w:p>
    <w:p w14:paraId="5354192D" w14:textId="5492018B" w:rsidR="009E1FDB" w:rsidRDefault="00272028" w:rsidP="009E1FDB">
      <w:pPr>
        <w:spacing w:line="276" w:lineRule="auto"/>
        <w:jc w:val="both"/>
        <w:rPr>
          <w:rFonts w:ascii="Arial" w:eastAsia="Arial" w:hAnsi="Arial" w:cs="Arial"/>
          <w:sz w:val="22"/>
          <w:szCs w:val="22"/>
        </w:rPr>
      </w:pPr>
      <w:r>
        <w:rPr>
          <w:rFonts w:ascii="Arial" w:eastAsia="Arial" w:hAnsi="Arial" w:cs="Arial"/>
          <w:sz w:val="22"/>
          <w:szCs w:val="22"/>
        </w:rPr>
        <w:lastRenderedPageBreak/>
        <w:t>Junto con Energía, completan e</w:t>
      </w:r>
      <w:r w:rsidR="009E1FDB">
        <w:rPr>
          <w:rFonts w:ascii="Arial" w:eastAsia="Arial" w:hAnsi="Arial" w:cs="Arial"/>
          <w:sz w:val="22"/>
          <w:szCs w:val="22"/>
        </w:rPr>
        <w:t xml:space="preserve">l top 3 </w:t>
      </w:r>
      <w:r w:rsidR="009E1FDB">
        <w:rPr>
          <w:rFonts w:ascii="Arial" w:eastAsia="Arial" w:hAnsi="Arial" w:cs="Arial"/>
          <w:b/>
          <w:bCs/>
          <w:sz w:val="22"/>
          <w:szCs w:val="22"/>
        </w:rPr>
        <w:t>Salud y farma</w:t>
      </w:r>
      <w:r>
        <w:rPr>
          <w:rFonts w:ascii="Arial" w:eastAsia="Arial" w:hAnsi="Arial" w:cs="Arial"/>
          <w:b/>
          <w:bCs/>
          <w:sz w:val="22"/>
          <w:szCs w:val="22"/>
        </w:rPr>
        <w:t>cia (33%)</w:t>
      </w:r>
      <w:r w:rsidR="009E1FDB">
        <w:rPr>
          <w:rFonts w:ascii="Arial" w:eastAsia="Arial" w:hAnsi="Arial" w:cs="Arial"/>
          <w:b/>
          <w:bCs/>
          <w:sz w:val="22"/>
          <w:szCs w:val="22"/>
        </w:rPr>
        <w:t>, que se sitúa a la cabeza</w:t>
      </w:r>
      <w:r>
        <w:rPr>
          <w:rFonts w:ascii="Arial" w:eastAsia="Arial" w:hAnsi="Arial" w:cs="Arial"/>
          <w:b/>
          <w:bCs/>
          <w:sz w:val="22"/>
          <w:szCs w:val="22"/>
        </w:rPr>
        <w:t xml:space="preserve"> </w:t>
      </w:r>
      <w:r w:rsidRPr="00272028">
        <w:rPr>
          <w:rFonts w:ascii="Arial" w:eastAsia="Arial" w:hAnsi="Arial" w:cs="Arial"/>
          <w:sz w:val="22"/>
          <w:szCs w:val="22"/>
        </w:rPr>
        <w:t>tras mejorar en</w:t>
      </w:r>
      <w:r>
        <w:rPr>
          <w:rFonts w:ascii="Arial" w:eastAsia="Arial" w:hAnsi="Arial" w:cs="Arial"/>
          <w:b/>
          <w:bCs/>
          <w:sz w:val="22"/>
          <w:szCs w:val="22"/>
        </w:rPr>
        <w:t xml:space="preserve"> </w:t>
      </w:r>
      <w:r w:rsidR="009E1FDB">
        <w:rPr>
          <w:rFonts w:ascii="Arial" w:eastAsia="Arial" w:hAnsi="Arial" w:cs="Arial"/>
          <w:sz w:val="22"/>
          <w:szCs w:val="22"/>
        </w:rPr>
        <w:t>23 puntos respecto al segundo trimestre; y</w:t>
      </w:r>
      <w:r>
        <w:rPr>
          <w:rFonts w:ascii="Arial" w:eastAsia="Arial" w:hAnsi="Arial" w:cs="Arial"/>
          <w:sz w:val="22"/>
          <w:szCs w:val="22"/>
        </w:rPr>
        <w:t xml:space="preserve"> </w:t>
      </w:r>
      <w:r w:rsidRPr="00272028">
        <w:rPr>
          <w:rFonts w:ascii="Arial" w:eastAsia="Arial" w:hAnsi="Arial" w:cs="Arial"/>
          <w:b/>
          <w:bCs/>
          <w:sz w:val="22"/>
          <w:szCs w:val="22"/>
        </w:rPr>
        <w:t>Tecnología</w:t>
      </w:r>
      <w:r>
        <w:rPr>
          <w:rFonts w:ascii="Arial" w:eastAsia="Arial" w:hAnsi="Arial" w:cs="Arial"/>
          <w:b/>
          <w:bCs/>
          <w:sz w:val="22"/>
          <w:szCs w:val="22"/>
        </w:rPr>
        <w:t xml:space="preserve"> (27%)</w:t>
      </w:r>
      <w:r w:rsidR="009E1FDB">
        <w:rPr>
          <w:rFonts w:ascii="Arial" w:eastAsia="Arial" w:hAnsi="Arial" w:cs="Arial"/>
          <w:bCs/>
          <w:sz w:val="22"/>
          <w:szCs w:val="22"/>
        </w:rPr>
        <w:t xml:space="preserve">, que </w:t>
      </w:r>
      <w:r>
        <w:rPr>
          <w:rFonts w:ascii="Arial" w:eastAsia="Arial" w:hAnsi="Arial" w:cs="Arial"/>
          <w:bCs/>
          <w:sz w:val="22"/>
          <w:szCs w:val="22"/>
        </w:rPr>
        <w:t xml:space="preserve">gana </w:t>
      </w:r>
      <w:r w:rsidR="009E1FDB">
        <w:rPr>
          <w:rFonts w:ascii="Arial" w:eastAsia="Arial" w:hAnsi="Arial" w:cs="Arial"/>
          <w:bCs/>
          <w:sz w:val="22"/>
          <w:szCs w:val="22"/>
        </w:rPr>
        <w:t xml:space="preserve">10 puntos </w:t>
      </w:r>
      <w:r>
        <w:rPr>
          <w:rFonts w:ascii="Arial" w:eastAsia="Arial" w:hAnsi="Arial" w:cs="Arial"/>
          <w:bCs/>
          <w:sz w:val="22"/>
          <w:szCs w:val="22"/>
        </w:rPr>
        <w:t>frente al periodo abril-junio</w:t>
      </w:r>
      <w:r w:rsidR="009E1FDB">
        <w:rPr>
          <w:rFonts w:ascii="Arial" w:eastAsia="Arial" w:hAnsi="Arial" w:cs="Arial"/>
          <w:bCs/>
          <w:sz w:val="22"/>
          <w:szCs w:val="22"/>
        </w:rPr>
        <w:t>.</w:t>
      </w:r>
    </w:p>
    <w:p w14:paraId="6B745351" w14:textId="5C56AFCF" w:rsidR="009E1FDB" w:rsidRDefault="009E1FDB" w:rsidP="00220C6D">
      <w:pPr>
        <w:spacing w:line="276" w:lineRule="auto"/>
        <w:jc w:val="both"/>
        <w:rPr>
          <w:rFonts w:ascii="Arial" w:eastAsia="Arial" w:hAnsi="Arial" w:cs="Arial"/>
          <w:sz w:val="22"/>
          <w:szCs w:val="22"/>
        </w:rPr>
      </w:pPr>
    </w:p>
    <w:p w14:paraId="711861F4" w14:textId="77777777" w:rsidR="00FE5027" w:rsidRDefault="00FE5027" w:rsidP="00FE5027">
      <w:pPr>
        <w:spacing w:line="276" w:lineRule="auto"/>
        <w:jc w:val="both"/>
        <w:rPr>
          <w:rFonts w:ascii="Arial" w:eastAsia="Arial" w:hAnsi="Arial" w:cs="Arial"/>
          <w:b/>
          <w:bCs/>
          <w:sz w:val="22"/>
          <w:szCs w:val="22"/>
        </w:rPr>
      </w:pPr>
      <w:bookmarkStart w:id="7" w:name="_Hlk137574113"/>
      <w:bookmarkStart w:id="8" w:name="_Hlk137575325"/>
      <w:r>
        <w:rPr>
          <w:rFonts w:ascii="Arial" w:eastAsia="Arial" w:hAnsi="Arial" w:cs="Arial"/>
          <w:sz w:val="22"/>
          <w:szCs w:val="22"/>
        </w:rPr>
        <w:t xml:space="preserve">A continuación, todos con un 22%, </w:t>
      </w:r>
      <w:r>
        <w:rPr>
          <w:rFonts w:ascii="Arial" w:eastAsia="Arial" w:hAnsi="Arial" w:cs="Arial"/>
          <w:b/>
          <w:bCs/>
          <w:sz w:val="22"/>
          <w:szCs w:val="22"/>
        </w:rPr>
        <w:t xml:space="preserve">Bienes y servicios de consumo </w:t>
      </w:r>
      <w:r>
        <w:rPr>
          <w:rFonts w:ascii="Arial" w:eastAsia="Arial" w:hAnsi="Arial" w:cs="Arial"/>
          <w:sz w:val="22"/>
          <w:szCs w:val="22"/>
        </w:rPr>
        <w:t>(que engloba el sector turístico)</w:t>
      </w:r>
      <w:r>
        <w:rPr>
          <w:rFonts w:ascii="Arial" w:eastAsia="Arial" w:hAnsi="Arial" w:cs="Arial"/>
          <w:b/>
          <w:bCs/>
          <w:sz w:val="22"/>
          <w:szCs w:val="22"/>
        </w:rPr>
        <w:t>; Financiero e inmobiliario;</w:t>
      </w:r>
      <w:r>
        <w:rPr>
          <w:rFonts w:ascii="Arial" w:eastAsia="Arial" w:hAnsi="Arial" w:cs="Arial"/>
          <w:sz w:val="22"/>
          <w:szCs w:val="22"/>
        </w:rPr>
        <w:t xml:space="preserve"> e</w:t>
      </w:r>
      <w:r>
        <w:rPr>
          <w:rFonts w:ascii="Arial" w:eastAsia="Arial" w:hAnsi="Arial" w:cs="Arial"/>
          <w:b/>
          <w:bCs/>
          <w:sz w:val="22"/>
          <w:szCs w:val="22"/>
        </w:rPr>
        <w:t xml:space="preserve"> Industrial. </w:t>
      </w:r>
      <w:r>
        <w:rPr>
          <w:rFonts w:ascii="Arial" w:eastAsia="Arial" w:hAnsi="Arial" w:cs="Arial"/>
          <w:sz w:val="22"/>
          <w:szCs w:val="22"/>
        </w:rPr>
        <w:t>Este último es el segundo que más crece, con una subida de 17 puntos respecto al trimestre anterior.</w:t>
      </w:r>
    </w:p>
    <w:p w14:paraId="4F72B8F0" w14:textId="77777777" w:rsidR="00FE5027" w:rsidRDefault="00FE5027" w:rsidP="00FE5027">
      <w:pPr>
        <w:spacing w:line="276" w:lineRule="auto"/>
        <w:jc w:val="both"/>
        <w:rPr>
          <w:rFonts w:ascii="Arial" w:eastAsia="Arial" w:hAnsi="Arial" w:cs="Arial"/>
          <w:b/>
          <w:bCs/>
          <w:sz w:val="22"/>
          <w:szCs w:val="22"/>
        </w:rPr>
      </w:pPr>
    </w:p>
    <w:p w14:paraId="7F2DAD38" w14:textId="77777777" w:rsidR="00FE5027" w:rsidRDefault="00FE5027" w:rsidP="00FE5027">
      <w:pPr>
        <w:spacing w:line="276" w:lineRule="auto"/>
        <w:jc w:val="both"/>
        <w:rPr>
          <w:rFonts w:ascii="Arial" w:eastAsia="Arial" w:hAnsi="Arial" w:cs="Arial"/>
          <w:bCs/>
          <w:sz w:val="22"/>
          <w:szCs w:val="22"/>
        </w:rPr>
      </w:pPr>
      <w:r>
        <w:rPr>
          <w:rFonts w:ascii="Arial" w:eastAsia="Arial" w:hAnsi="Arial" w:cs="Arial"/>
          <w:sz w:val="22"/>
          <w:szCs w:val="22"/>
        </w:rPr>
        <w:t xml:space="preserve">Cierran la lista </w:t>
      </w:r>
      <w:r>
        <w:rPr>
          <w:rFonts w:ascii="Arial" w:eastAsia="Arial" w:hAnsi="Arial" w:cs="Arial"/>
          <w:b/>
          <w:bCs/>
          <w:sz w:val="22"/>
          <w:szCs w:val="22"/>
        </w:rPr>
        <w:t xml:space="preserve">Publicidad y comunicación (18%) </w:t>
      </w:r>
      <w:r>
        <w:rPr>
          <w:rFonts w:ascii="Arial" w:eastAsia="Arial" w:hAnsi="Arial" w:cs="Arial"/>
          <w:sz w:val="22"/>
          <w:szCs w:val="22"/>
        </w:rPr>
        <w:t xml:space="preserve">y </w:t>
      </w:r>
      <w:r>
        <w:rPr>
          <w:rFonts w:ascii="Arial" w:eastAsia="Arial" w:hAnsi="Arial" w:cs="Arial"/>
          <w:b/>
          <w:bCs/>
          <w:sz w:val="22"/>
          <w:szCs w:val="22"/>
        </w:rPr>
        <w:t xml:space="preserve">Transporte, logística y automoción, que tiene una proyección neutra (0%). </w:t>
      </w:r>
      <w:r>
        <w:rPr>
          <w:rFonts w:ascii="Arial" w:eastAsia="Arial" w:hAnsi="Arial" w:cs="Arial"/>
          <w:sz w:val="22"/>
          <w:szCs w:val="22"/>
        </w:rPr>
        <w:t>Ambos</w:t>
      </w:r>
      <w:r>
        <w:rPr>
          <w:rFonts w:ascii="Arial" w:eastAsia="Arial" w:hAnsi="Arial" w:cs="Arial"/>
          <w:b/>
          <w:bCs/>
          <w:sz w:val="22"/>
          <w:szCs w:val="22"/>
        </w:rPr>
        <w:t xml:space="preserve"> </w:t>
      </w:r>
      <w:r>
        <w:rPr>
          <w:rFonts w:ascii="Arial" w:eastAsia="Arial" w:hAnsi="Arial" w:cs="Arial"/>
          <w:sz w:val="22"/>
          <w:szCs w:val="22"/>
        </w:rPr>
        <w:t>estaban en el top 3 en creación de empleo en el segundo trimestre y son las únicas industrias que empeoran sus previsiones: Publicidad se deja un punto, mientras que Logística decrece en 19.</w:t>
      </w:r>
    </w:p>
    <w:bookmarkEnd w:id="7"/>
    <w:bookmarkEnd w:id="8"/>
    <w:p w14:paraId="165B3BFA" w14:textId="77777777" w:rsidR="00FE5027" w:rsidRDefault="00FE5027" w:rsidP="00FE5027">
      <w:pPr>
        <w:spacing w:line="276" w:lineRule="auto"/>
        <w:jc w:val="both"/>
        <w:rPr>
          <w:rFonts w:ascii="Arial" w:eastAsia="Arial" w:hAnsi="Arial" w:cs="Arial"/>
          <w:bCs/>
          <w:sz w:val="22"/>
          <w:szCs w:val="22"/>
        </w:rPr>
      </w:pPr>
    </w:p>
    <w:p w14:paraId="6EC49F0B" w14:textId="797BE26E" w:rsidR="00272028" w:rsidRDefault="00272028" w:rsidP="00EA7C7E">
      <w:pPr>
        <w:spacing w:line="276" w:lineRule="auto"/>
        <w:jc w:val="both"/>
        <w:rPr>
          <w:rFonts w:ascii="Arial" w:eastAsia="Arial" w:hAnsi="Arial" w:cs="Arial"/>
          <w:bCs/>
          <w:sz w:val="22"/>
          <w:szCs w:val="22"/>
        </w:rPr>
      </w:pPr>
      <w:r>
        <w:rPr>
          <w:rFonts w:ascii="Arial" w:eastAsia="Arial" w:hAnsi="Arial" w:cs="Arial"/>
          <w:bCs/>
          <w:noProof/>
          <w:sz w:val="22"/>
          <w:szCs w:val="22"/>
        </w:rPr>
        <w:drawing>
          <wp:inline distT="0" distB="0" distL="0" distR="0" wp14:anchorId="5E729F69" wp14:editId="4786E6AA">
            <wp:extent cx="5760000" cy="187507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00" cy="1875076"/>
                    </a:xfrm>
                    <a:prstGeom prst="rect">
                      <a:avLst/>
                    </a:prstGeom>
                    <a:noFill/>
                  </pic:spPr>
                </pic:pic>
              </a:graphicData>
            </a:graphic>
          </wp:inline>
        </w:drawing>
      </w:r>
    </w:p>
    <w:p w14:paraId="10BA0FAB" w14:textId="77777777" w:rsidR="00731F03" w:rsidRDefault="00731F03" w:rsidP="00492F25">
      <w:pPr>
        <w:spacing w:line="276" w:lineRule="auto"/>
        <w:jc w:val="both"/>
        <w:rPr>
          <w:rFonts w:ascii="Arial" w:eastAsia="Arial" w:hAnsi="Arial" w:cs="Arial"/>
          <w:bCs/>
          <w:sz w:val="22"/>
          <w:szCs w:val="22"/>
        </w:rPr>
      </w:pPr>
    </w:p>
    <w:p w14:paraId="00830191" w14:textId="77777777" w:rsidR="00A242B7" w:rsidRDefault="00A242B7" w:rsidP="00A242B7">
      <w:pPr>
        <w:spacing w:line="276" w:lineRule="auto"/>
        <w:jc w:val="both"/>
        <w:rPr>
          <w:rFonts w:ascii="Arial" w:hAnsi="Arial" w:cs="Arial"/>
          <w:bCs/>
          <w:sz w:val="18"/>
          <w:szCs w:val="18"/>
        </w:rPr>
      </w:pPr>
      <w:bookmarkStart w:id="9" w:name="_Hlk137572106"/>
      <w:bookmarkEnd w:id="1"/>
      <w:bookmarkEnd w:id="2"/>
      <w:bookmarkEnd w:id="3"/>
      <w:bookmarkEnd w:id="4"/>
      <w:r>
        <w:rPr>
          <w:rFonts w:ascii="Arial" w:hAnsi="Arial" w:cs="Arial"/>
          <w:bCs/>
          <w:sz w:val="18"/>
          <w:szCs w:val="18"/>
        </w:rPr>
        <w:t xml:space="preserve">Más información en: </w:t>
      </w:r>
      <w:hyperlink r:id="rId8" w:history="1">
        <w:r>
          <w:rPr>
            <w:rStyle w:val="Hipervnculo"/>
            <w:rFonts w:ascii="Arial" w:hAnsi="Arial" w:cs="Arial"/>
            <w:bCs/>
            <w:sz w:val="18"/>
            <w:szCs w:val="18"/>
          </w:rPr>
          <w:t>https://www.manpowergroup.es/estudios/estudio-de-proyeccion-de-empleo-de-manpowergroup-para-el-tercer-trimestre-de-2023</w:t>
        </w:r>
      </w:hyperlink>
    </w:p>
    <w:p w14:paraId="3CDFD664" w14:textId="77777777" w:rsidR="00A242B7" w:rsidRDefault="00A242B7" w:rsidP="00A242B7">
      <w:pPr>
        <w:tabs>
          <w:tab w:val="right" w:pos="8838"/>
        </w:tabs>
        <w:autoSpaceDE w:val="0"/>
        <w:autoSpaceDN w:val="0"/>
        <w:adjustRightInd w:val="0"/>
        <w:jc w:val="both"/>
        <w:rPr>
          <w:rFonts w:ascii="Arial" w:hAnsi="Arial" w:cs="Arial"/>
          <w:sz w:val="16"/>
          <w:szCs w:val="16"/>
        </w:rPr>
      </w:pPr>
      <w:bookmarkStart w:id="10" w:name="_Hlk90222956"/>
      <w:bookmarkStart w:id="11" w:name="_Hlk90207554"/>
    </w:p>
    <w:p w14:paraId="4CE1F08F" w14:textId="77777777" w:rsidR="00A242B7" w:rsidRDefault="00A242B7" w:rsidP="00A242B7">
      <w:pPr>
        <w:tabs>
          <w:tab w:val="right" w:pos="8838"/>
        </w:tabs>
        <w:autoSpaceDE w:val="0"/>
        <w:autoSpaceDN w:val="0"/>
        <w:adjustRightInd w:val="0"/>
        <w:jc w:val="both"/>
        <w:rPr>
          <w:rFonts w:ascii="Arial" w:hAnsi="Arial" w:cs="Arial"/>
          <w:sz w:val="16"/>
          <w:szCs w:val="16"/>
        </w:rPr>
      </w:pPr>
    </w:p>
    <w:p w14:paraId="12D675FE" w14:textId="77777777" w:rsidR="00A242B7" w:rsidRDefault="00A242B7" w:rsidP="00A242B7">
      <w:pPr>
        <w:jc w:val="both"/>
        <w:rPr>
          <w:rFonts w:ascii="Arial" w:hAnsi="Arial" w:cs="Arial"/>
          <w:sz w:val="16"/>
          <w:szCs w:val="16"/>
        </w:rPr>
      </w:pPr>
      <w:r>
        <w:rPr>
          <w:rFonts w:ascii="Arial" w:hAnsi="Arial" w:cs="Arial"/>
          <w:b/>
          <w:bCs/>
          <w:sz w:val="16"/>
          <w:szCs w:val="16"/>
        </w:rPr>
        <w:t>ManpowerGroup</w:t>
      </w:r>
      <w:r>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48795529" w14:textId="77777777" w:rsidR="00A242B7" w:rsidRDefault="00A242B7" w:rsidP="00A242B7">
      <w:pPr>
        <w:jc w:val="both"/>
        <w:rPr>
          <w:rFonts w:ascii="Arial" w:hAnsi="Arial" w:cs="Arial"/>
          <w:sz w:val="16"/>
          <w:szCs w:val="16"/>
        </w:rPr>
      </w:pPr>
      <w:r>
        <w:rPr>
          <w:rFonts w:ascii="Arial" w:hAnsi="Arial" w:cs="Arial"/>
          <w:sz w:val="16"/>
          <w:szCs w:val="16"/>
        </w:rPr>
        <w:t xml:space="preserve">Más información en </w:t>
      </w:r>
      <w:hyperlink r:id="rId9" w:history="1">
        <w:r>
          <w:rPr>
            <w:rStyle w:val="Hipervnculo"/>
            <w:rFonts w:ascii="Arial" w:hAnsi="Arial" w:cs="Arial"/>
            <w:sz w:val="16"/>
            <w:szCs w:val="16"/>
          </w:rPr>
          <w:t>www.manpowergroup.es</w:t>
        </w:r>
      </w:hyperlink>
      <w:r>
        <w:rPr>
          <w:rFonts w:ascii="Arial" w:hAnsi="Arial" w:cs="Arial"/>
          <w:sz w:val="16"/>
          <w:szCs w:val="16"/>
        </w:rPr>
        <w:t>.</w:t>
      </w:r>
    </w:p>
    <w:p w14:paraId="71C4CF19" w14:textId="77777777" w:rsidR="00A242B7" w:rsidRDefault="00A242B7" w:rsidP="00A242B7">
      <w:pPr>
        <w:tabs>
          <w:tab w:val="right" w:pos="8838"/>
        </w:tabs>
        <w:autoSpaceDE w:val="0"/>
        <w:autoSpaceDN w:val="0"/>
        <w:adjustRightInd w:val="0"/>
        <w:jc w:val="both"/>
        <w:rPr>
          <w:rFonts w:ascii="Arial" w:hAnsi="Arial" w:cs="Arial"/>
          <w:sz w:val="16"/>
          <w:szCs w:val="16"/>
        </w:rPr>
      </w:pPr>
    </w:p>
    <w:p w14:paraId="2649DDAE" w14:textId="77777777" w:rsidR="00A242B7" w:rsidRDefault="00A242B7" w:rsidP="00A242B7">
      <w:pPr>
        <w:tabs>
          <w:tab w:val="right" w:pos="8838"/>
        </w:tabs>
        <w:autoSpaceDE w:val="0"/>
        <w:autoSpaceDN w:val="0"/>
        <w:adjustRightInd w:val="0"/>
        <w:jc w:val="both"/>
        <w:rPr>
          <w:rFonts w:ascii="Arial" w:hAnsi="Arial" w:cs="Arial"/>
          <w:sz w:val="16"/>
          <w:szCs w:val="16"/>
        </w:rPr>
      </w:pPr>
    </w:p>
    <w:bookmarkEnd w:id="10"/>
    <w:bookmarkEnd w:id="11"/>
    <w:p w14:paraId="6B0FD33F" w14:textId="77777777" w:rsidR="00A242B7" w:rsidRDefault="00A242B7" w:rsidP="00A242B7">
      <w:pPr>
        <w:tabs>
          <w:tab w:val="right" w:pos="8838"/>
        </w:tabs>
        <w:autoSpaceDE w:val="0"/>
        <w:autoSpaceDN w:val="0"/>
        <w:adjustRightInd w:val="0"/>
        <w:jc w:val="both"/>
        <w:rPr>
          <w:rFonts w:ascii="Arial" w:hAnsi="Arial" w:cs="Arial"/>
          <w:b/>
          <w:bCs/>
          <w:sz w:val="16"/>
          <w:szCs w:val="16"/>
        </w:rPr>
      </w:pPr>
      <w:r>
        <w:rPr>
          <w:rFonts w:ascii="Arial" w:hAnsi="Arial" w:cs="Arial"/>
          <w:b/>
          <w:bCs/>
          <w:sz w:val="16"/>
          <w:szCs w:val="16"/>
        </w:rPr>
        <w:t>Para más información:</w:t>
      </w:r>
    </w:p>
    <w:p w14:paraId="5927F70B" w14:textId="77777777" w:rsidR="00A242B7" w:rsidRDefault="00A242B7" w:rsidP="00A242B7">
      <w:pPr>
        <w:tabs>
          <w:tab w:val="right" w:pos="8838"/>
        </w:tabs>
        <w:autoSpaceDE w:val="0"/>
        <w:autoSpaceDN w:val="0"/>
        <w:adjustRightInd w:val="0"/>
        <w:jc w:val="both"/>
        <w:rPr>
          <w:rFonts w:ascii="Arial" w:hAnsi="Arial" w:cs="Arial"/>
          <w:b/>
          <w:bCs/>
          <w:sz w:val="16"/>
          <w:szCs w:val="16"/>
        </w:rPr>
      </w:pPr>
    </w:p>
    <w:tbl>
      <w:tblPr>
        <w:tblW w:w="8955" w:type="dxa"/>
        <w:tblLayout w:type="fixed"/>
        <w:tblLook w:val="04A0" w:firstRow="1" w:lastRow="0" w:firstColumn="1" w:lastColumn="0" w:noHBand="0" w:noVBand="1"/>
      </w:tblPr>
      <w:tblGrid>
        <w:gridCol w:w="2946"/>
        <w:gridCol w:w="2979"/>
        <w:gridCol w:w="3030"/>
      </w:tblGrid>
      <w:tr w:rsidR="00A242B7" w14:paraId="7E471710" w14:textId="77777777" w:rsidTr="00A242B7">
        <w:trPr>
          <w:trHeight w:val="1159"/>
        </w:trPr>
        <w:tc>
          <w:tcPr>
            <w:tcW w:w="2943" w:type="dxa"/>
            <w:hideMark/>
          </w:tcPr>
          <w:p w14:paraId="6D3D5535" w14:textId="77777777" w:rsidR="00A242B7" w:rsidRDefault="00A242B7">
            <w:pPr>
              <w:spacing w:line="256" w:lineRule="auto"/>
              <w:jc w:val="both"/>
              <w:outlineLvl w:val="0"/>
              <w:rPr>
                <w:rFonts w:ascii="Arial" w:hAnsi="Arial" w:cs="Arial"/>
                <w:b/>
                <w:sz w:val="16"/>
                <w:szCs w:val="16"/>
                <w:lang w:eastAsia="en-US"/>
              </w:rPr>
            </w:pPr>
            <w:bookmarkStart w:id="12" w:name="_Hlk90207537"/>
            <w:r>
              <w:rPr>
                <w:rFonts w:ascii="Arial" w:hAnsi="Arial" w:cs="Arial"/>
                <w:b/>
                <w:sz w:val="16"/>
                <w:szCs w:val="16"/>
                <w:lang w:eastAsia="en-US"/>
              </w:rPr>
              <w:t>ManpowerGroup</w:t>
            </w:r>
          </w:p>
          <w:p w14:paraId="64FAC7E4" w14:textId="77777777" w:rsidR="00A242B7" w:rsidRDefault="00A242B7">
            <w:pPr>
              <w:spacing w:line="256" w:lineRule="auto"/>
              <w:jc w:val="both"/>
              <w:outlineLvl w:val="0"/>
              <w:rPr>
                <w:rFonts w:ascii="Arial" w:hAnsi="Arial" w:cs="Arial"/>
                <w:sz w:val="16"/>
                <w:szCs w:val="16"/>
                <w:lang w:eastAsia="en-US"/>
              </w:rPr>
            </w:pPr>
            <w:r>
              <w:rPr>
                <w:rFonts w:ascii="Arial" w:hAnsi="Arial" w:cs="Arial"/>
                <w:sz w:val="16"/>
                <w:szCs w:val="16"/>
                <w:lang w:eastAsia="en-US"/>
              </w:rPr>
              <w:t>Dpto. Comunicación</w:t>
            </w:r>
          </w:p>
          <w:p w14:paraId="03D35691" w14:textId="77777777" w:rsidR="00A242B7" w:rsidRDefault="00A242B7">
            <w:pPr>
              <w:spacing w:line="256" w:lineRule="auto"/>
              <w:jc w:val="both"/>
              <w:rPr>
                <w:rFonts w:ascii="Arial" w:hAnsi="Arial" w:cs="Arial"/>
                <w:sz w:val="16"/>
                <w:szCs w:val="16"/>
                <w:lang w:eastAsia="en-US"/>
              </w:rPr>
            </w:pPr>
            <w:r>
              <w:rPr>
                <w:rFonts w:ascii="Arial" w:hAnsi="Arial" w:cs="Arial"/>
                <w:sz w:val="16"/>
                <w:szCs w:val="16"/>
                <w:lang w:eastAsia="en-US"/>
              </w:rPr>
              <w:t>Juan Gómez Rodríguez</w:t>
            </w:r>
          </w:p>
          <w:p w14:paraId="5DAC98E5" w14:textId="77777777" w:rsidR="00A242B7" w:rsidRDefault="00A242B7">
            <w:pPr>
              <w:spacing w:line="256" w:lineRule="auto"/>
              <w:jc w:val="both"/>
              <w:rPr>
                <w:rFonts w:ascii="Arial" w:hAnsi="Arial" w:cs="Arial"/>
                <w:sz w:val="16"/>
                <w:szCs w:val="16"/>
                <w:lang w:eastAsia="en-US"/>
              </w:rPr>
            </w:pPr>
            <w:r>
              <w:rPr>
                <w:rFonts w:ascii="Arial" w:hAnsi="Arial" w:cs="Arial"/>
                <w:sz w:val="16"/>
                <w:szCs w:val="16"/>
                <w:lang w:eastAsia="en-US"/>
              </w:rPr>
              <w:t>Tel. 687 51 96 90</w:t>
            </w:r>
          </w:p>
          <w:p w14:paraId="41726714" w14:textId="77777777" w:rsidR="00A242B7" w:rsidRDefault="00FE5027">
            <w:pPr>
              <w:spacing w:line="256" w:lineRule="auto"/>
              <w:jc w:val="both"/>
              <w:rPr>
                <w:rFonts w:ascii="Arial" w:hAnsi="Arial" w:cs="Arial"/>
                <w:sz w:val="16"/>
                <w:szCs w:val="16"/>
                <w:lang w:eastAsia="en-US"/>
              </w:rPr>
            </w:pPr>
            <w:hyperlink r:id="rId10" w:history="1">
              <w:r w:rsidR="00A242B7">
                <w:rPr>
                  <w:rStyle w:val="Hipervnculo"/>
                  <w:rFonts w:ascii="Arial" w:hAnsi="Arial" w:cs="Arial"/>
                  <w:sz w:val="16"/>
                  <w:szCs w:val="16"/>
                  <w:lang w:eastAsia="en-US"/>
                </w:rPr>
                <w:t>juan.gomez@manpowergroup.es</w:t>
              </w:r>
            </w:hyperlink>
          </w:p>
        </w:tc>
        <w:tc>
          <w:tcPr>
            <w:tcW w:w="2977" w:type="dxa"/>
          </w:tcPr>
          <w:p w14:paraId="5CE93498" w14:textId="77777777" w:rsidR="00A242B7" w:rsidRDefault="00A242B7">
            <w:pPr>
              <w:spacing w:line="256" w:lineRule="auto"/>
              <w:jc w:val="both"/>
              <w:rPr>
                <w:rFonts w:ascii="Arial" w:hAnsi="Arial" w:cs="Arial"/>
                <w:sz w:val="16"/>
                <w:szCs w:val="16"/>
                <w:lang w:val="ca-ES" w:eastAsia="en-US"/>
              </w:rPr>
            </w:pPr>
          </w:p>
        </w:tc>
        <w:tc>
          <w:tcPr>
            <w:tcW w:w="3028" w:type="dxa"/>
            <w:hideMark/>
          </w:tcPr>
          <w:p w14:paraId="79938C3F" w14:textId="77777777" w:rsidR="00A242B7" w:rsidRDefault="00A242B7">
            <w:pPr>
              <w:pStyle w:val="NormalWeb"/>
              <w:spacing w:before="0" w:beforeAutospacing="0" w:after="0" w:afterAutospacing="0" w:line="256" w:lineRule="auto"/>
              <w:jc w:val="both"/>
              <w:rPr>
                <w:rStyle w:val="Hipervnculo"/>
                <w:rFonts w:ascii="Arial" w:hAnsi="Arial" w:cs="Arial"/>
                <w:color w:val="auto"/>
                <w:u w:val="none"/>
              </w:rPr>
            </w:pPr>
            <w:r>
              <w:rPr>
                <w:rFonts w:ascii="Arial" w:hAnsi="Arial" w:cs="Arial"/>
                <w:color w:val="000000"/>
                <w:sz w:val="16"/>
                <w:szCs w:val="16"/>
                <w:u w:val="single"/>
                <w:lang w:eastAsia="en-US"/>
              </w:rPr>
              <w:t>Agencia de comunicación Indie PR</w:t>
            </w:r>
          </w:p>
          <w:p w14:paraId="2C7855B5" w14:textId="77777777" w:rsidR="00A242B7" w:rsidRDefault="00A242B7">
            <w:pPr>
              <w:pStyle w:val="NormalWeb"/>
              <w:spacing w:before="0" w:beforeAutospacing="0" w:after="0" w:afterAutospacing="0" w:line="256" w:lineRule="auto"/>
              <w:jc w:val="both"/>
            </w:pPr>
            <w:r>
              <w:rPr>
                <w:rFonts w:ascii="Arial" w:hAnsi="Arial" w:cs="Arial"/>
                <w:b/>
                <w:bCs/>
                <w:color w:val="000000"/>
                <w:sz w:val="16"/>
                <w:szCs w:val="16"/>
                <w:lang w:eastAsia="en-US"/>
              </w:rPr>
              <w:t>Isabel Gata</w:t>
            </w:r>
          </w:p>
          <w:p w14:paraId="1F7CCE4F" w14:textId="77777777" w:rsidR="00A242B7" w:rsidRDefault="00A242B7">
            <w:pPr>
              <w:pStyle w:val="NormalWeb"/>
              <w:spacing w:before="0" w:beforeAutospacing="0" w:after="0" w:afterAutospacing="0" w:line="256" w:lineRule="auto"/>
              <w:jc w:val="both"/>
              <w:rPr>
                <w:rFonts w:ascii="Arial" w:hAnsi="Arial" w:cs="Arial"/>
                <w:sz w:val="16"/>
                <w:szCs w:val="16"/>
                <w:lang w:eastAsia="en-US"/>
              </w:rPr>
            </w:pPr>
            <w:r>
              <w:rPr>
                <w:rFonts w:ascii="Arial" w:hAnsi="Arial" w:cs="Arial"/>
                <w:color w:val="000000"/>
                <w:sz w:val="16"/>
                <w:szCs w:val="16"/>
                <w:lang w:eastAsia="en-US"/>
              </w:rPr>
              <w:t>Tel.: 630 701 069</w:t>
            </w:r>
          </w:p>
          <w:p w14:paraId="1203601A" w14:textId="77777777" w:rsidR="00A242B7" w:rsidRDefault="00FE5027">
            <w:pPr>
              <w:pStyle w:val="NormalWeb"/>
              <w:spacing w:before="0" w:beforeAutospacing="0" w:after="0" w:afterAutospacing="0" w:line="256" w:lineRule="auto"/>
              <w:jc w:val="both"/>
              <w:rPr>
                <w:rFonts w:ascii="Arial" w:hAnsi="Arial" w:cs="Arial"/>
                <w:sz w:val="16"/>
                <w:szCs w:val="16"/>
                <w:lang w:eastAsia="en-US"/>
              </w:rPr>
            </w:pPr>
            <w:hyperlink r:id="rId11" w:history="1">
              <w:r w:rsidR="00A242B7">
                <w:rPr>
                  <w:rStyle w:val="Hipervnculo"/>
                  <w:rFonts w:ascii="Arial" w:hAnsi="Arial" w:cs="Arial"/>
                  <w:sz w:val="16"/>
                  <w:szCs w:val="16"/>
                  <w:lang w:eastAsia="en-US"/>
                </w:rPr>
                <w:t>isabel@indiepr.es</w:t>
              </w:r>
            </w:hyperlink>
          </w:p>
          <w:p w14:paraId="268A9027" w14:textId="77777777" w:rsidR="00A242B7" w:rsidRDefault="00A242B7">
            <w:pPr>
              <w:pStyle w:val="NormalWeb"/>
              <w:spacing w:before="0" w:beforeAutospacing="0" w:after="0" w:afterAutospacing="0" w:line="256" w:lineRule="auto"/>
              <w:jc w:val="both"/>
              <w:rPr>
                <w:rFonts w:ascii="Arial" w:hAnsi="Arial" w:cs="Arial"/>
                <w:sz w:val="16"/>
                <w:szCs w:val="16"/>
                <w:lang w:eastAsia="en-US"/>
              </w:rPr>
            </w:pPr>
            <w:r>
              <w:rPr>
                <w:rFonts w:ascii="Arial" w:hAnsi="Arial" w:cs="Arial"/>
                <w:b/>
                <w:bCs/>
                <w:color w:val="000000"/>
                <w:sz w:val="16"/>
                <w:szCs w:val="16"/>
                <w:lang w:eastAsia="en-US"/>
              </w:rPr>
              <w:t xml:space="preserve">Cristina Villanueva </w:t>
            </w:r>
          </w:p>
          <w:p w14:paraId="2CC8DF51" w14:textId="77777777" w:rsidR="00A242B7" w:rsidRDefault="00A242B7">
            <w:pPr>
              <w:pStyle w:val="NormalWeb"/>
              <w:spacing w:before="0" w:beforeAutospacing="0" w:after="0" w:afterAutospacing="0" w:line="256" w:lineRule="auto"/>
              <w:jc w:val="both"/>
              <w:rPr>
                <w:rFonts w:ascii="Arial" w:hAnsi="Arial" w:cs="Arial"/>
                <w:sz w:val="16"/>
                <w:szCs w:val="16"/>
                <w:lang w:eastAsia="en-US"/>
              </w:rPr>
            </w:pPr>
            <w:r>
              <w:rPr>
                <w:rFonts w:ascii="Arial" w:hAnsi="Arial" w:cs="Arial"/>
                <w:color w:val="000000"/>
                <w:sz w:val="16"/>
                <w:szCs w:val="16"/>
                <w:lang w:eastAsia="en-US"/>
              </w:rPr>
              <w:t>Tel.: 687 14 73 60</w:t>
            </w:r>
          </w:p>
          <w:p w14:paraId="312BF447" w14:textId="77777777" w:rsidR="00A242B7" w:rsidRDefault="00FE5027">
            <w:pPr>
              <w:pStyle w:val="NormalWeb"/>
              <w:spacing w:before="0" w:beforeAutospacing="0" w:after="0" w:afterAutospacing="0" w:line="256" w:lineRule="auto"/>
              <w:jc w:val="both"/>
              <w:rPr>
                <w:rFonts w:ascii="Arial" w:hAnsi="Arial" w:cs="Arial"/>
                <w:sz w:val="16"/>
                <w:szCs w:val="16"/>
                <w:lang w:eastAsia="en-US"/>
              </w:rPr>
            </w:pPr>
            <w:hyperlink r:id="rId12" w:history="1">
              <w:r w:rsidR="00A242B7">
                <w:rPr>
                  <w:rStyle w:val="Hipervnculo"/>
                  <w:rFonts w:ascii="Arial" w:hAnsi="Arial" w:cs="Arial"/>
                  <w:sz w:val="16"/>
                  <w:szCs w:val="16"/>
                  <w:lang w:eastAsia="en-US"/>
                </w:rPr>
                <w:t>cristina@indiepr.es</w:t>
              </w:r>
            </w:hyperlink>
          </w:p>
        </w:tc>
      </w:tr>
      <w:bookmarkEnd w:id="9"/>
      <w:bookmarkEnd w:id="12"/>
    </w:tbl>
    <w:p w14:paraId="0F55B214" w14:textId="77777777" w:rsidR="008E54AD" w:rsidRPr="00176074" w:rsidRDefault="008E54AD" w:rsidP="00A242B7">
      <w:pPr>
        <w:spacing w:line="276" w:lineRule="auto"/>
        <w:jc w:val="both"/>
        <w:rPr>
          <w:rFonts w:ascii="Arial" w:hAnsi="Arial" w:cs="Arial"/>
          <w:b/>
          <w:bCs/>
          <w:sz w:val="16"/>
          <w:szCs w:val="16"/>
        </w:rPr>
      </w:pPr>
    </w:p>
    <w:sectPr w:rsidR="008E54AD" w:rsidRPr="00176074"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B0CF" w14:textId="77777777" w:rsidR="00741C49" w:rsidRDefault="00741C49">
      <w:r>
        <w:separator/>
      </w:r>
    </w:p>
  </w:endnote>
  <w:endnote w:type="continuationSeparator" w:id="0">
    <w:p w14:paraId="04DCEAF6" w14:textId="77777777" w:rsidR="00741C49" w:rsidRDefault="0074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C90D98"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C90D98" w:rsidRDefault="00FE5027"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2815E4" w:rsidRDefault="00FE5027" w:rsidP="006479E0">
    <w:pPr>
      <w:pStyle w:val="Piedepgina"/>
      <w:ind w:right="360"/>
    </w:pPr>
  </w:p>
  <w:p w14:paraId="23873518" w14:textId="77777777" w:rsidR="00C90D98"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9B46" w14:textId="77777777" w:rsidR="00741C49" w:rsidRDefault="00741C49">
      <w:r>
        <w:separator/>
      </w:r>
    </w:p>
  </w:footnote>
  <w:footnote w:type="continuationSeparator" w:id="0">
    <w:p w14:paraId="0E294515" w14:textId="77777777" w:rsidR="00741C49" w:rsidRDefault="0074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2815E4"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42488"/>
    <w:rsid w:val="0006342D"/>
    <w:rsid w:val="00063579"/>
    <w:rsid w:val="00066C14"/>
    <w:rsid w:val="00070929"/>
    <w:rsid w:val="000869A2"/>
    <w:rsid w:val="00095B8E"/>
    <w:rsid w:val="000A1973"/>
    <w:rsid w:val="000D2B5A"/>
    <w:rsid w:val="000E71B3"/>
    <w:rsid w:val="0012170F"/>
    <w:rsid w:val="00124DEA"/>
    <w:rsid w:val="00130DA9"/>
    <w:rsid w:val="001324E2"/>
    <w:rsid w:val="001433E0"/>
    <w:rsid w:val="00175EBE"/>
    <w:rsid w:val="00176074"/>
    <w:rsid w:val="00181155"/>
    <w:rsid w:val="0018572B"/>
    <w:rsid w:val="001A2A76"/>
    <w:rsid w:val="001B39AD"/>
    <w:rsid w:val="002059D2"/>
    <w:rsid w:val="00212129"/>
    <w:rsid w:val="00217624"/>
    <w:rsid w:val="00220C6D"/>
    <w:rsid w:val="002246BA"/>
    <w:rsid w:val="002331A8"/>
    <w:rsid w:val="0024317A"/>
    <w:rsid w:val="00272028"/>
    <w:rsid w:val="00294475"/>
    <w:rsid w:val="002A3D92"/>
    <w:rsid w:val="002B3F52"/>
    <w:rsid w:val="002B461A"/>
    <w:rsid w:val="002C02D9"/>
    <w:rsid w:val="002D032D"/>
    <w:rsid w:val="002F04D0"/>
    <w:rsid w:val="003018DE"/>
    <w:rsid w:val="003019C9"/>
    <w:rsid w:val="0032424C"/>
    <w:rsid w:val="00326125"/>
    <w:rsid w:val="00332D02"/>
    <w:rsid w:val="00337FD2"/>
    <w:rsid w:val="00344595"/>
    <w:rsid w:val="00346E05"/>
    <w:rsid w:val="003470C8"/>
    <w:rsid w:val="003509A5"/>
    <w:rsid w:val="00383F58"/>
    <w:rsid w:val="003A214F"/>
    <w:rsid w:val="003A2B29"/>
    <w:rsid w:val="003A44A9"/>
    <w:rsid w:val="003C4894"/>
    <w:rsid w:val="003C5FF2"/>
    <w:rsid w:val="003D0E85"/>
    <w:rsid w:val="003D4F9E"/>
    <w:rsid w:val="00407AD8"/>
    <w:rsid w:val="0044035B"/>
    <w:rsid w:val="00441AA5"/>
    <w:rsid w:val="004612C2"/>
    <w:rsid w:val="00467AF9"/>
    <w:rsid w:val="00467E66"/>
    <w:rsid w:val="00492F25"/>
    <w:rsid w:val="00497689"/>
    <w:rsid w:val="004C0F40"/>
    <w:rsid w:val="004C607E"/>
    <w:rsid w:val="004D1FAF"/>
    <w:rsid w:val="004E23C4"/>
    <w:rsid w:val="004E4D24"/>
    <w:rsid w:val="004F67EC"/>
    <w:rsid w:val="00512001"/>
    <w:rsid w:val="005201CA"/>
    <w:rsid w:val="00541A7B"/>
    <w:rsid w:val="00561B53"/>
    <w:rsid w:val="00576DDF"/>
    <w:rsid w:val="00577B92"/>
    <w:rsid w:val="005939CD"/>
    <w:rsid w:val="005A7DB1"/>
    <w:rsid w:val="005A7E9C"/>
    <w:rsid w:val="005C33ED"/>
    <w:rsid w:val="005D1AE9"/>
    <w:rsid w:val="005D5DC2"/>
    <w:rsid w:val="005E4173"/>
    <w:rsid w:val="005F1509"/>
    <w:rsid w:val="005F1CEB"/>
    <w:rsid w:val="0062226B"/>
    <w:rsid w:val="00636A81"/>
    <w:rsid w:val="0064466A"/>
    <w:rsid w:val="006515B4"/>
    <w:rsid w:val="00652342"/>
    <w:rsid w:val="006536BD"/>
    <w:rsid w:val="00687087"/>
    <w:rsid w:val="00694B11"/>
    <w:rsid w:val="006972C0"/>
    <w:rsid w:val="006A7F27"/>
    <w:rsid w:val="006B6CC7"/>
    <w:rsid w:val="006E3831"/>
    <w:rsid w:val="006E5208"/>
    <w:rsid w:val="0072269E"/>
    <w:rsid w:val="00731F03"/>
    <w:rsid w:val="00741C49"/>
    <w:rsid w:val="00795548"/>
    <w:rsid w:val="007A0082"/>
    <w:rsid w:val="007A74B1"/>
    <w:rsid w:val="007B59D1"/>
    <w:rsid w:val="007B679F"/>
    <w:rsid w:val="00801C70"/>
    <w:rsid w:val="00825CE9"/>
    <w:rsid w:val="00836F8E"/>
    <w:rsid w:val="00841381"/>
    <w:rsid w:val="00853C2E"/>
    <w:rsid w:val="00857C81"/>
    <w:rsid w:val="008764B5"/>
    <w:rsid w:val="00882FCB"/>
    <w:rsid w:val="00885750"/>
    <w:rsid w:val="00886F0C"/>
    <w:rsid w:val="0089190E"/>
    <w:rsid w:val="008A4224"/>
    <w:rsid w:val="008B155B"/>
    <w:rsid w:val="008C0114"/>
    <w:rsid w:val="008C5AB0"/>
    <w:rsid w:val="008E54AD"/>
    <w:rsid w:val="008E730B"/>
    <w:rsid w:val="00927308"/>
    <w:rsid w:val="00932CB7"/>
    <w:rsid w:val="00942998"/>
    <w:rsid w:val="009436E0"/>
    <w:rsid w:val="00951405"/>
    <w:rsid w:val="0097553E"/>
    <w:rsid w:val="00977BE7"/>
    <w:rsid w:val="00981941"/>
    <w:rsid w:val="009A0E87"/>
    <w:rsid w:val="009A1EB0"/>
    <w:rsid w:val="009A3526"/>
    <w:rsid w:val="009A6F8A"/>
    <w:rsid w:val="009C2675"/>
    <w:rsid w:val="009D3CF7"/>
    <w:rsid w:val="009E1FDB"/>
    <w:rsid w:val="009F01EA"/>
    <w:rsid w:val="009F7DB9"/>
    <w:rsid w:val="009F7E1C"/>
    <w:rsid w:val="00A02C34"/>
    <w:rsid w:val="00A242B7"/>
    <w:rsid w:val="00A41710"/>
    <w:rsid w:val="00A50B4D"/>
    <w:rsid w:val="00A52E71"/>
    <w:rsid w:val="00A56426"/>
    <w:rsid w:val="00A574BF"/>
    <w:rsid w:val="00A7208B"/>
    <w:rsid w:val="00A81170"/>
    <w:rsid w:val="00AB24A2"/>
    <w:rsid w:val="00AF11D7"/>
    <w:rsid w:val="00AF735D"/>
    <w:rsid w:val="00B05CD9"/>
    <w:rsid w:val="00B05D48"/>
    <w:rsid w:val="00B116AF"/>
    <w:rsid w:val="00B25897"/>
    <w:rsid w:val="00B32DA9"/>
    <w:rsid w:val="00B36A65"/>
    <w:rsid w:val="00B5039B"/>
    <w:rsid w:val="00B5158D"/>
    <w:rsid w:val="00B628EE"/>
    <w:rsid w:val="00B8069B"/>
    <w:rsid w:val="00B963D0"/>
    <w:rsid w:val="00BB1160"/>
    <w:rsid w:val="00BB39D9"/>
    <w:rsid w:val="00BC45B7"/>
    <w:rsid w:val="00BC46BE"/>
    <w:rsid w:val="00BE22AA"/>
    <w:rsid w:val="00BF2547"/>
    <w:rsid w:val="00BF5E11"/>
    <w:rsid w:val="00C536C9"/>
    <w:rsid w:val="00C61314"/>
    <w:rsid w:val="00C7314E"/>
    <w:rsid w:val="00C73CB1"/>
    <w:rsid w:val="00C83097"/>
    <w:rsid w:val="00C91CCE"/>
    <w:rsid w:val="00CA0905"/>
    <w:rsid w:val="00CF74FF"/>
    <w:rsid w:val="00D00DF9"/>
    <w:rsid w:val="00D02D48"/>
    <w:rsid w:val="00D27B5C"/>
    <w:rsid w:val="00D3571D"/>
    <w:rsid w:val="00D63AB2"/>
    <w:rsid w:val="00D64482"/>
    <w:rsid w:val="00D74557"/>
    <w:rsid w:val="00D7641E"/>
    <w:rsid w:val="00D90EF8"/>
    <w:rsid w:val="00D92B75"/>
    <w:rsid w:val="00DB0F1B"/>
    <w:rsid w:val="00DB45BA"/>
    <w:rsid w:val="00DB5EEF"/>
    <w:rsid w:val="00DC304A"/>
    <w:rsid w:val="00DC6709"/>
    <w:rsid w:val="00DD53A1"/>
    <w:rsid w:val="00E10601"/>
    <w:rsid w:val="00E13BED"/>
    <w:rsid w:val="00E14B59"/>
    <w:rsid w:val="00E375F1"/>
    <w:rsid w:val="00E675C5"/>
    <w:rsid w:val="00E845CF"/>
    <w:rsid w:val="00E91772"/>
    <w:rsid w:val="00EA7C7E"/>
    <w:rsid w:val="00ED4D55"/>
    <w:rsid w:val="00ED788C"/>
    <w:rsid w:val="00F00E57"/>
    <w:rsid w:val="00F03D39"/>
    <w:rsid w:val="00F0730E"/>
    <w:rsid w:val="00F24D52"/>
    <w:rsid w:val="00F34988"/>
    <w:rsid w:val="00F45079"/>
    <w:rsid w:val="00F45C5A"/>
    <w:rsid w:val="00F5395E"/>
    <w:rsid w:val="00F72967"/>
    <w:rsid w:val="00F73A73"/>
    <w:rsid w:val="00F93A2E"/>
    <w:rsid w:val="00F95E09"/>
    <w:rsid w:val="00FB561C"/>
    <w:rsid w:val="00FC3937"/>
    <w:rsid w:val="00FC7D4B"/>
    <w:rsid w:val="00FE5027"/>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character" w:styleId="Hipervnculovisitado">
    <w:name w:val="FollowedHyperlink"/>
    <w:basedOn w:val="Fuentedeprrafopredeter"/>
    <w:uiPriority w:val="99"/>
    <w:semiHidden/>
    <w:unhideWhenUsed/>
    <w:rsid w:val="00220C6D"/>
    <w:rPr>
      <w:color w:val="954F72" w:themeColor="followedHyperlink"/>
      <w:u w:val="single"/>
    </w:rPr>
  </w:style>
  <w:style w:type="paragraph" w:styleId="Revisin">
    <w:name w:val="Revision"/>
    <w:hidden/>
    <w:uiPriority w:val="99"/>
    <w:semiHidden/>
    <w:rsid w:val="003A44A9"/>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5EBE"/>
    <w:rPr>
      <w:b/>
      <w:bCs/>
      <w:lang w:eastAsia="es-ES"/>
    </w:rPr>
  </w:style>
  <w:style w:type="character" w:customStyle="1" w:styleId="AsuntodelcomentarioCar">
    <w:name w:val="Asunto del comentario Car"/>
    <w:basedOn w:val="TextocomentarioCar"/>
    <w:link w:val="Asuntodelcomentario"/>
    <w:uiPriority w:val="99"/>
    <w:semiHidden/>
    <w:rsid w:val="00175EB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16355442">
      <w:bodyDiv w:val="1"/>
      <w:marLeft w:val="0"/>
      <w:marRight w:val="0"/>
      <w:marTop w:val="0"/>
      <w:marBottom w:val="0"/>
      <w:divBdr>
        <w:top w:val="none" w:sz="0" w:space="0" w:color="auto"/>
        <w:left w:val="none" w:sz="0" w:space="0" w:color="auto"/>
        <w:bottom w:val="none" w:sz="0" w:space="0" w:color="auto"/>
        <w:right w:val="none" w:sz="0" w:space="0" w:color="auto"/>
      </w:divBdr>
    </w:div>
    <w:div w:id="340473298">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43361901">
      <w:bodyDiv w:val="1"/>
      <w:marLeft w:val="0"/>
      <w:marRight w:val="0"/>
      <w:marTop w:val="0"/>
      <w:marBottom w:val="0"/>
      <w:divBdr>
        <w:top w:val="none" w:sz="0" w:space="0" w:color="auto"/>
        <w:left w:val="none" w:sz="0" w:space="0" w:color="auto"/>
        <w:bottom w:val="none" w:sz="0" w:space="0" w:color="auto"/>
        <w:right w:val="none" w:sz="0" w:space="0" w:color="auto"/>
      </w:divBdr>
    </w:div>
    <w:div w:id="1140028300">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407341878">
      <w:bodyDiv w:val="1"/>
      <w:marLeft w:val="0"/>
      <w:marRight w:val="0"/>
      <w:marTop w:val="0"/>
      <w:marBottom w:val="0"/>
      <w:divBdr>
        <w:top w:val="none" w:sz="0" w:space="0" w:color="auto"/>
        <w:left w:val="none" w:sz="0" w:space="0" w:color="auto"/>
        <w:bottom w:val="none" w:sz="0" w:space="0" w:color="auto"/>
        <w:right w:val="none" w:sz="0" w:space="0" w:color="auto"/>
      </w:divBdr>
    </w:div>
    <w:div w:id="1430471749">
      <w:bodyDiv w:val="1"/>
      <w:marLeft w:val="0"/>
      <w:marRight w:val="0"/>
      <w:marTop w:val="0"/>
      <w:marBottom w:val="0"/>
      <w:divBdr>
        <w:top w:val="none" w:sz="0" w:space="0" w:color="auto"/>
        <w:left w:val="none" w:sz="0" w:space="0" w:color="auto"/>
        <w:bottom w:val="none" w:sz="0" w:space="0" w:color="auto"/>
        <w:right w:val="none" w:sz="0" w:space="0" w:color="auto"/>
      </w:divBdr>
    </w:div>
    <w:div w:id="143609204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51247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estudio-de-proyeccion-de-empleo-de-manpowergroup-para-el-tercer-trimestre-d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736</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13</cp:revision>
  <cp:lastPrinted>2022-12-19T17:21:00Z</cp:lastPrinted>
  <dcterms:created xsi:type="dcterms:W3CDTF">2023-06-09T14:42:00Z</dcterms:created>
  <dcterms:modified xsi:type="dcterms:W3CDTF">2023-06-13T17:36:00Z</dcterms:modified>
</cp:coreProperties>
</file>